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E1B75" w14:textId="3F523EBC" w:rsidR="002966E4" w:rsidRPr="002175C0" w:rsidRDefault="002966E4" w:rsidP="002966E4">
      <w:pPr>
        <w:pStyle w:val="Header"/>
        <w:tabs>
          <w:tab w:val="left" w:pos="1800"/>
        </w:tabs>
        <w:ind w:left="1800" w:hanging="1800"/>
        <w:rPr>
          <w:sz w:val="22"/>
        </w:rPr>
      </w:pPr>
      <w:bookmarkStart w:id="0" w:name="_Hlk485112250"/>
      <w:bookmarkEnd w:id="0"/>
      <w:r w:rsidRPr="002175C0">
        <w:rPr>
          <w:sz w:val="22"/>
        </w:rPr>
        <w:t xml:space="preserve">3GPP TSG RAN WG1 #90                                       </w:t>
      </w:r>
      <w:r w:rsidRPr="002175C0">
        <w:rPr>
          <w:sz w:val="22"/>
        </w:rPr>
        <w:tab/>
      </w:r>
      <w:r w:rsidR="00E0493A">
        <w:rPr>
          <w:sz w:val="22"/>
        </w:rPr>
        <w:tab/>
      </w:r>
      <w:r w:rsidR="00E0493A">
        <w:rPr>
          <w:sz w:val="22"/>
        </w:rPr>
        <w:tab/>
      </w:r>
      <w:r w:rsidR="00E0493A">
        <w:rPr>
          <w:sz w:val="22"/>
        </w:rPr>
        <w:tab/>
      </w:r>
      <w:r w:rsidR="00E0493A">
        <w:rPr>
          <w:sz w:val="22"/>
        </w:rPr>
        <w:tab/>
      </w:r>
      <w:r w:rsidR="00E0493A">
        <w:rPr>
          <w:sz w:val="22"/>
        </w:rPr>
        <w:tab/>
      </w:r>
      <w:r w:rsidRPr="002175C0">
        <w:rPr>
          <w:sz w:val="22"/>
        </w:rPr>
        <w:t>R1-171</w:t>
      </w:r>
      <w:r w:rsidR="00E0493A">
        <w:rPr>
          <w:sz w:val="22"/>
        </w:rPr>
        <w:t>4454</w:t>
      </w:r>
    </w:p>
    <w:p w14:paraId="60F038FC" w14:textId="77777777" w:rsidR="002966E4" w:rsidRPr="002175C0" w:rsidRDefault="002966E4" w:rsidP="002966E4">
      <w:pPr>
        <w:pStyle w:val="Header"/>
        <w:tabs>
          <w:tab w:val="left" w:pos="1800"/>
        </w:tabs>
        <w:ind w:left="1800" w:hanging="1800"/>
        <w:rPr>
          <w:sz w:val="22"/>
        </w:rPr>
      </w:pPr>
      <w:r w:rsidRPr="002175C0">
        <w:rPr>
          <w:sz w:val="22"/>
        </w:rPr>
        <w:t>Prague, Czech Republic, 21-25 August 2017</w:t>
      </w:r>
    </w:p>
    <w:p w14:paraId="7AC70172" w14:textId="77777777" w:rsidR="002966E4" w:rsidRDefault="002966E4" w:rsidP="002966E4">
      <w:pPr>
        <w:pStyle w:val="Header"/>
        <w:tabs>
          <w:tab w:val="left" w:pos="1800"/>
        </w:tabs>
        <w:ind w:left="1800" w:hanging="1800"/>
      </w:pPr>
    </w:p>
    <w:p w14:paraId="3F8F73D1" w14:textId="77777777" w:rsidR="002966E4" w:rsidRPr="00060D83" w:rsidRDefault="002966E4" w:rsidP="002966E4">
      <w:pPr>
        <w:pStyle w:val="Header"/>
        <w:tabs>
          <w:tab w:val="left" w:pos="1800"/>
        </w:tabs>
        <w:ind w:left="1800" w:hanging="1800"/>
      </w:pPr>
      <w:r w:rsidRPr="00060D83">
        <w:t>Source:</w:t>
      </w:r>
      <w:r w:rsidRPr="00060D83">
        <w:tab/>
        <w:t>Ericsson</w:t>
      </w:r>
    </w:p>
    <w:p w14:paraId="7D5AE713" w14:textId="03C1F383" w:rsidR="002966E4" w:rsidRPr="00060D83" w:rsidRDefault="002966E4" w:rsidP="002966E4">
      <w:pPr>
        <w:pStyle w:val="Header"/>
        <w:tabs>
          <w:tab w:val="left" w:pos="1800"/>
        </w:tabs>
      </w:pPr>
      <w:r w:rsidRPr="00060D83">
        <w:t>Title:</w:t>
      </w:r>
      <w:bookmarkStart w:id="1" w:name="Title"/>
      <w:bookmarkEnd w:id="1"/>
      <w:r w:rsidRPr="00060D83">
        <w:tab/>
      </w:r>
      <w:r w:rsidRPr="00674BE7">
        <w:rPr>
          <w:iCs/>
        </w:rPr>
        <w:t xml:space="preserve">On </w:t>
      </w:r>
      <w:r w:rsidR="00792960">
        <w:rPr>
          <w:iCs/>
        </w:rPr>
        <w:t xml:space="preserve">UCI aspects for </w:t>
      </w:r>
      <w:r>
        <w:rPr>
          <w:iCs/>
        </w:rPr>
        <w:t>CA</w:t>
      </w:r>
    </w:p>
    <w:p w14:paraId="235FAF0D" w14:textId="68CAE90C" w:rsidR="002966E4" w:rsidRPr="00060D83" w:rsidRDefault="002966E4" w:rsidP="002966E4">
      <w:pPr>
        <w:pStyle w:val="Header"/>
        <w:tabs>
          <w:tab w:val="left" w:pos="1800"/>
        </w:tabs>
      </w:pPr>
      <w:r w:rsidRPr="00060D83">
        <w:t>Agenda Item:</w:t>
      </w:r>
      <w:bookmarkStart w:id="2" w:name="Source"/>
      <w:bookmarkEnd w:id="2"/>
      <w:r w:rsidRPr="002966E4">
        <w:rPr>
          <w:iCs/>
        </w:rPr>
        <w:tab/>
        <w:t>6</w:t>
      </w:r>
      <w:r>
        <w:rPr>
          <w:iCs/>
        </w:rPr>
        <w:t>.1.3.4</w:t>
      </w:r>
    </w:p>
    <w:p w14:paraId="28CB55F9" w14:textId="77777777" w:rsidR="002966E4" w:rsidRPr="00060D83" w:rsidRDefault="002966E4" w:rsidP="002966E4">
      <w:pPr>
        <w:pStyle w:val="Header"/>
        <w:tabs>
          <w:tab w:val="left" w:pos="1800"/>
        </w:tabs>
      </w:pPr>
      <w:r w:rsidRPr="00060D83">
        <w:t>Document for:</w:t>
      </w:r>
      <w:r w:rsidRPr="00060D83">
        <w:tab/>
      </w:r>
      <w:bookmarkStart w:id="3" w:name="DocumentFor"/>
      <w:bookmarkEnd w:id="3"/>
      <w:r w:rsidRPr="00060D83">
        <w:t>Discussion and Decision</w:t>
      </w:r>
    </w:p>
    <w:p w14:paraId="65062EEC" w14:textId="77777777" w:rsidR="00E90E49" w:rsidRPr="007B78FE" w:rsidRDefault="00E90E49" w:rsidP="00CE0424">
      <w:pPr>
        <w:pStyle w:val="Heading1"/>
        <w:rPr>
          <w:lang w:val="en-US"/>
        </w:rPr>
      </w:pPr>
      <w:r w:rsidRPr="007B78FE">
        <w:rPr>
          <w:lang w:val="en-US"/>
        </w:rPr>
        <w:t>Introduction</w:t>
      </w:r>
    </w:p>
    <w:p w14:paraId="76B27D76" w14:textId="390ABABB" w:rsidR="00733D4B" w:rsidRDefault="00733D4B" w:rsidP="00733D4B">
      <w:pPr>
        <w:pStyle w:val="BodyText"/>
        <w:rPr>
          <w:rFonts w:cs="Arial"/>
        </w:rPr>
      </w:pPr>
      <w:r>
        <w:rPr>
          <w:rFonts w:cs="Arial"/>
        </w:rPr>
        <w:t>In RAN1#8</w:t>
      </w:r>
      <w:r w:rsidR="00ED2A30">
        <w:rPr>
          <w:rFonts w:cs="Arial"/>
        </w:rPr>
        <w:t>9</w:t>
      </w:r>
      <w:r w:rsidRPr="003F5094">
        <w:rPr>
          <w:rFonts w:cs="Arial"/>
        </w:rPr>
        <w:t>, the followin</w:t>
      </w:r>
      <w:r>
        <w:rPr>
          <w:rFonts w:cs="Arial"/>
        </w:rPr>
        <w:t>g agreement</w:t>
      </w:r>
      <w:bookmarkStart w:id="4" w:name="_GoBack"/>
      <w:bookmarkEnd w:id="4"/>
      <w:r>
        <w:rPr>
          <w:rFonts w:cs="Arial"/>
        </w:rPr>
        <w:t xml:space="preserve">s </w:t>
      </w:r>
      <w:r w:rsidR="00FC1C60">
        <w:rPr>
          <w:rFonts w:cs="Arial"/>
        </w:rPr>
        <w:t>were reached related to o</w:t>
      </w:r>
      <w:r w:rsidR="00FC1C60" w:rsidRPr="00FC1C60">
        <w:rPr>
          <w:rFonts w:cs="Arial"/>
        </w:rPr>
        <w:t xml:space="preserve">n Scheduling and UCI Handling in Carrier Aggregation </w:t>
      </w:r>
      <w:r w:rsidR="00F83162">
        <w:rPr>
          <w:rFonts w:cs="Arial"/>
        </w:rPr>
        <w:fldChar w:fldCharType="begin"/>
      </w:r>
      <w:r w:rsidR="00F83162">
        <w:rPr>
          <w:rFonts w:cs="Arial"/>
        </w:rPr>
        <w:instrText xml:space="preserve"> REF _Ref481744756 \r \h </w:instrText>
      </w:r>
      <w:r w:rsidR="00F83162">
        <w:rPr>
          <w:rFonts w:cs="Arial"/>
        </w:rPr>
      </w:r>
      <w:r w:rsidR="00F83162">
        <w:rPr>
          <w:rFonts w:cs="Arial"/>
        </w:rPr>
        <w:fldChar w:fldCharType="separate"/>
      </w:r>
      <w:r w:rsidR="00E65920">
        <w:rPr>
          <w:rFonts w:cs="Arial"/>
        </w:rPr>
        <w:t>[1]</w:t>
      </w:r>
      <w:r w:rsidR="00F83162">
        <w:rPr>
          <w:rFonts w:cs="Arial"/>
        </w:rPr>
        <w:fldChar w:fldCharType="end"/>
      </w:r>
      <w:r w:rsidRPr="003F5094">
        <w:rPr>
          <w:rFonts w:cs="Arial"/>
        </w:rPr>
        <w:t>:</w:t>
      </w:r>
    </w:p>
    <w:p w14:paraId="4B864B03" w14:textId="77777777" w:rsidR="00FC1C60" w:rsidRPr="00F53ABC" w:rsidRDefault="00FC1C60" w:rsidP="00CE5F8B">
      <w:pPr>
        <w:numPr>
          <w:ilvl w:val="0"/>
          <w:numId w:val="10"/>
        </w:numPr>
        <w:spacing w:after="0"/>
        <w:rPr>
          <w:rFonts w:eastAsia="MS Mincho"/>
          <w:iCs/>
          <w:lang w:eastAsia="ja-JP"/>
        </w:rPr>
      </w:pPr>
      <w:r w:rsidRPr="00F53ABC">
        <w:rPr>
          <w:rFonts w:eastAsia="MS Mincho"/>
          <w:iCs/>
          <w:lang w:eastAsia="ja-JP"/>
        </w:rPr>
        <w:t xml:space="preserve">Support cross-carrier scheduling for aggregated carriers with the same and different numerology. </w:t>
      </w:r>
    </w:p>
    <w:p w14:paraId="79F8A002" w14:textId="77777777" w:rsidR="00FC1C60" w:rsidRPr="00F53ABC" w:rsidRDefault="00FC1C60" w:rsidP="00CE5F8B">
      <w:pPr>
        <w:numPr>
          <w:ilvl w:val="1"/>
          <w:numId w:val="10"/>
        </w:numPr>
        <w:spacing w:after="0"/>
        <w:rPr>
          <w:rFonts w:eastAsia="MS Mincho"/>
          <w:iCs/>
          <w:lang w:eastAsia="ja-JP"/>
        </w:rPr>
      </w:pPr>
      <w:r w:rsidRPr="00F53ABC">
        <w:rPr>
          <w:rFonts w:eastAsia="MS Mincho"/>
          <w:iCs/>
          <w:lang w:eastAsia="ja-JP"/>
        </w:rPr>
        <w:t>FFS: the timing relationship between DCI and the corresponding PDSCH/PUSCH</w:t>
      </w:r>
    </w:p>
    <w:p w14:paraId="521F5879" w14:textId="77777777" w:rsidR="00FC1C60" w:rsidRPr="00F53ABC" w:rsidRDefault="00FC1C60" w:rsidP="00CE5F8B">
      <w:pPr>
        <w:numPr>
          <w:ilvl w:val="1"/>
          <w:numId w:val="10"/>
        </w:numPr>
        <w:spacing w:after="0"/>
        <w:rPr>
          <w:rFonts w:eastAsia="MS Mincho"/>
          <w:iCs/>
          <w:lang w:eastAsia="ja-JP"/>
        </w:rPr>
      </w:pPr>
      <w:r w:rsidRPr="00F53ABC">
        <w:rPr>
          <w:rFonts w:eastAsia="MS Mincho"/>
          <w:iCs/>
          <w:lang w:eastAsia="ja-JP"/>
        </w:rPr>
        <w:t>FFS: impact on the maximum number of HARQ processes</w:t>
      </w:r>
    </w:p>
    <w:p w14:paraId="1791FB97" w14:textId="77777777" w:rsidR="00FC1C60" w:rsidRDefault="00FC1C60" w:rsidP="00CE5F8B">
      <w:pPr>
        <w:numPr>
          <w:ilvl w:val="1"/>
          <w:numId w:val="10"/>
        </w:numPr>
        <w:spacing w:after="0"/>
        <w:rPr>
          <w:rFonts w:eastAsia="MS Mincho"/>
          <w:iCs/>
          <w:lang w:eastAsia="ja-JP"/>
        </w:rPr>
      </w:pPr>
      <w:r w:rsidRPr="00F53ABC">
        <w:rPr>
          <w:rFonts w:eastAsia="MS Mincho"/>
          <w:iCs/>
          <w:lang w:eastAsia="ja-JP"/>
        </w:rPr>
        <w:t xml:space="preserve">FFS: potential restrictions </w:t>
      </w:r>
      <w:r>
        <w:rPr>
          <w:rFonts w:eastAsia="MS Mincho" w:hint="eastAsia"/>
          <w:iCs/>
          <w:lang w:eastAsia="ja-JP"/>
        </w:rPr>
        <w:t xml:space="preserve">(e.g., </w:t>
      </w:r>
      <w:r w:rsidRPr="00F53ABC">
        <w:rPr>
          <w:rFonts w:eastAsia="MS Mincho"/>
          <w:iCs/>
          <w:lang w:eastAsia="ja-JP"/>
        </w:rPr>
        <w:t>on comb</w:t>
      </w:r>
      <w:r>
        <w:rPr>
          <w:rFonts w:eastAsia="MS Mincho"/>
          <w:iCs/>
          <w:lang w:eastAsia="ja-JP"/>
        </w:rPr>
        <w:t>ination of different numerology</w:t>
      </w:r>
      <w:r>
        <w:rPr>
          <w:rFonts w:eastAsia="MS Mincho" w:hint="eastAsia"/>
          <w:iCs/>
          <w:lang w:eastAsia="ja-JP"/>
        </w:rPr>
        <w:t>)</w:t>
      </w:r>
    </w:p>
    <w:p w14:paraId="566D9D55" w14:textId="77777777" w:rsidR="00FC1C60" w:rsidRPr="00F53ABC" w:rsidRDefault="00FC1C60" w:rsidP="00CE5F8B">
      <w:pPr>
        <w:numPr>
          <w:ilvl w:val="0"/>
          <w:numId w:val="10"/>
        </w:numPr>
        <w:spacing w:after="0"/>
        <w:rPr>
          <w:rFonts w:eastAsia="MS Mincho"/>
          <w:iCs/>
          <w:lang w:eastAsia="ja-JP"/>
        </w:rPr>
      </w:pPr>
      <w:r w:rsidRPr="00F53ABC">
        <w:rPr>
          <w:rFonts w:eastAsia="MS Mincho"/>
          <w:iCs/>
          <w:lang w:eastAsia="ja-JP"/>
        </w:rPr>
        <w:t xml:space="preserve">Support joint UCI feedback for aggregated carriers with the same or different numerology. </w:t>
      </w:r>
    </w:p>
    <w:p w14:paraId="463998AD" w14:textId="77777777" w:rsidR="00FC1C60" w:rsidRPr="00F53ABC" w:rsidRDefault="00FC1C60" w:rsidP="00CE5F8B">
      <w:pPr>
        <w:numPr>
          <w:ilvl w:val="1"/>
          <w:numId w:val="10"/>
        </w:numPr>
        <w:spacing w:after="0"/>
        <w:rPr>
          <w:rFonts w:eastAsia="MS Mincho"/>
          <w:iCs/>
          <w:lang w:eastAsia="ja-JP"/>
        </w:rPr>
      </w:pPr>
      <w:r w:rsidRPr="00F53ABC">
        <w:rPr>
          <w:rFonts w:eastAsia="MS Mincho"/>
          <w:iCs/>
          <w:lang w:eastAsia="ja-JP"/>
        </w:rPr>
        <w:t xml:space="preserve">FFS: the timing relationship between PDSCH and the corresponding HARQ-ACK </w:t>
      </w:r>
    </w:p>
    <w:p w14:paraId="2AA2F3AD" w14:textId="77777777" w:rsidR="00FC1C60" w:rsidRPr="00F53ABC" w:rsidRDefault="00FC1C60" w:rsidP="00CE5F8B">
      <w:pPr>
        <w:numPr>
          <w:ilvl w:val="1"/>
          <w:numId w:val="10"/>
        </w:numPr>
        <w:spacing w:after="0"/>
        <w:rPr>
          <w:rFonts w:eastAsia="MS Mincho"/>
          <w:iCs/>
          <w:lang w:eastAsia="ja-JP"/>
        </w:rPr>
      </w:pPr>
      <w:r w:rsidRPr="00F53ABC">
        <w:rPr>
          <w:rFonts w:eastAsia="MS Mincho"/>
          <w:iCs/>
          <w:lang w:eastAsia="ja-JP"/>
        </w:rPr>
        <w:t xml:space="preserve">FFS: impact on maximum number of HARQ process </w:t>
      </w:r>
    </w:p>
    <w:p w14:paraId="486AEA9F" w14:textId="77777777" w:rsidR="00FC1C60" w:rsidRPr="00F53ABC" w:rsidRDefault="00FC1C60" w:rsidP="00CE5F8B">
      <w:pPr>
        <w:numPr>
          <w:ilvl w:val="1"/>
          <w:numId w:val="10"/>
        </w:numPr>
        <w:spacing w:after="0"/>
        <w:rPr>
          <w:rFonts w:eastAsia="MS Mincho"/>
          <w:iCs/>
          <w:lang w:eastAsia="ja-JP"/>
        </w:rPr>
      </w:pPr>
      <w:r w:rsidRPr="00F53ABC">
        <w:rPr>
          <w:rFonts w:eastAsia="MS Mincho"/>
          <w:iCs/>
          <w:lang w:eastAsia="ja-JP"/>
        </w:rPr>
        <w:t>FFS: potential restrictions</w:t>
      </w:r>
      <w:r>
        <w:rPr>
          <w:rFonts w:eastAsia="MS Mincho" w:hint="eastAsia"/>
          <w:iCs/>
          <w:lang w:eastAsia="ja-JP"/>
        </w:rPr>
        <w:t xml:space="preserve"> (e.g., </w:t>
      </w:r>
      <w:r w:rsidRPr="00F53ABC">
        <w:rPr>
          <w:rFonts w:eastAsia="MS Mincho"/>
          <w:iCs/>
          <w:lang w:eastAsia="ja-JP"/>
        </w:rPr>
        <w:t>on comb</w:t>
      </w:r>
      <w:r>
        <w:rPr>
          <w:rFonts w:eastAsia="MS Mincho"/>
          <w:iCs/>
          <w:lang w:eastAsia="ja-JP"/>
        </w:rPr>
        <w:t>ination of different numerology</w:t>
      </w:r>
      <w:r>
        <w:rPr>
          <w:rFonts w:eastAsia="MS Mincho" w:hint="eastAsia"/>
          <w:iCs/>
          <w:lang w:eastAsia="ja-JP"/>
        </w:rPr>
        <w:t>)</w:t>
      </w:r>
    </w:p>
    <w:p w14:paraId="48B7A722" w14:textId="77777777" w:rsidR="00FC1C60" w:rsidRPr="001E5FF1" w:rsidRDefault="00FC1C60" w:rsidP="00CE5F8B">
      <w:pPr>
        <w:numPr>
          <w:ilvl w:val="0"/>
          <w:numId w:val="10"/>
        </w:numPr>
        <w:spacing w:after="0"/>
        <w:rPr>
          <w:rFonts w:eastAsia="MS Mincho"/>
          <w:iCs/>
          <w:lang w:eastAsia="ja-JP"/>
        </w:rPr>
      </w:pPr>
      <w:r w:rsidRPr="001E5FF1">
        <w:rPr>
          <w:rFonts w:eastAsia="MS Mincho"/>
          <w:iCs/>
          <w:lang w:eastAsia="ja-JP"/>
        </w:rPr>
        <w:t>Support one PUCCH in one cell group for NR DC</w:t>
      </w:r>
      <w:r>
        <w:rPr>
          <w:rFonts w:eastAsia="MS Mincho" w:hint="eastAsia"/>
          <w:iCs/>
          <w:lang w:eastAsia="ja-JP"/>
        </w:rPr>
        <w:t>/CA</w:t>
      </w:r>
    </w:p>
    <w:p w14:paraId="4893A73B" w14:textId="77777777" w:rsidR="00FC1C60" w:rsidRPr="001E5FF1" w:rsidRDefault="00FC1C60" w:rsidP="00CE5F8B">
      <w:pPr>
        <w:numPr>
          <w:ilvl w:val="1"/>
          <w:numId w:val="10"/>
        </w:numPr>
        <w:spacing w:after="0"/>
        <w:rPr>
          <w:rFonts w:eastAsia="MS Mincho"/>
          <w:iCs/>
          <w:lang w:eastAsia="ja-JP"/>
        </w:rPr>
      </w:pPr>
      <w:r>
        <w:rPr>
          <w:rFonts w:eastAsia="MS Mincho" w:hint="eastAsia"/>
          <w:iCs/>
          <w:lang w:eastAsia="ja-JP"/>
        </w:rPr>
        <w:t xml:space="preserve">FFS: </w:t>
      </w:r>
      <w:r w:rsidRPr="001E5FF1">
        <w:rPr>
          <w:rFonts w:eastAsia="MS Mincho" w:hint="eastAsia"/>
          <w:iCs/>
          <w:lang w:eastAsia="ja-JP"/>
        </w:rPr>
        <w:t>T</w:t>
      </w:r>
      <w:r w:rsidRPr="001E5FF1">
        <w:rPr>
          <w:rFonts w:eastAsia="MS Mincho"/>
          <w:iCs/>
          <w:lang w:eastAsia="ja-JP"/>
        </w:rPr>
        <w:t>he carrier for PUCCH transmission can be configured within one cell group</w:t>
      </w:r>
    </w:p>
    <w:p w14:paraId="63836124" w14:textId="6690ED14" w:rsidR="00FC1C60" w:rsidRDefault="00FC1C60" w:rsidP="00CE5F8B">
      <w:pPr>
        <w:numPr>
          <w:ilvl w:val="1"/>
          <w:numId w:val="10"/>
        </w:numPr>
        <w:spacing w:after="0"/>
        <w:rPr>
          <w:rFonts w:eastAsia="MS Mincho"/>
          <w:iCs/>
          <w:lang w:eastAsia="ja-JP"/>
        </w:rPr>
      </w:pPr>
      <w:r w:rsidRPr="001E5FF1">
        <w:rPr>
          <w:rFonts w:eastAsia="MS Mincho"/>
          <w:iCs/>
          <w:lang w:eastAsia="ja-JP"/>
        </w:rPr>
        <w:t>FFS: potential restrictions</w:t>
      </w:r>
      <w:r w:rsidRPr="001E5FF1">
        <w:rPr>
          <w:rFonts w:eastAsia="MS Mincho" w:hint="eastAsia"/>
          <w:iCs/>
          <w:lang w:eastAsia="ja-JP"/>
        </w:rPr>
        <w:t xml:space="preserve"> (e.g., </w:t>
      </w:r>
      <w:r w:rsidRPr="001E5FF1">
        <w:rPr>
          <w:rFonts w:eastAsia="MS Mincho"/>
          <w:iCs/>
          <w:lang w:eastAsia="ja-JP"/>
        </w:rPr>
        <w:t>on combination of different numerology</w:t>
      </w:r>
      <w:r w:rsidRPr="001E5FF1">
        <w:rPr>
          <w:rFonts w:eastAsia="MS Mincho" w:hint="eastAsia"/>
          <w:iCs/>
          <w:lang w:eastAsia="ja-JP"/>
        </w:rPr>
        <w:t>, on combination of different frequency bands)</w:t>
      </w:r>
    </w:p>
    <w:p w14:paraId="22588902" w14:textId="77777777" w:rsidR="002966E4" w:rsidRDefault="002966E4" w:rsidP="002966E4">
      <w:pPr>
        <w:spacing w:after="0"/>
        <w:rPr>
          <w:rFonts w:eastAsia="MS Mincho"/>
          <w:iCs/>
          <w:lang w:eastAsia="ja-JP"/>
        </w:rPr>
      </w:pPr>
    </w:p>
    <w:p w14:paraId="60E40EE0" w14:textId="16179915" w:rsidR="002966E4" w:rsidRPr="001E5FF1" w:rsidRDefault="002966E4" w:rsidP="002966E4">
      <w:pPr>
        <w:spacing w:after="0"/>
        <w:rPr>
          <w:rFonts w:eastAsia="MS Mincho"/>
          <w:iCs/>
          <w:lang w:eastAsia="ja-JP"/>
        </w:rPr>
      </w:pPr>
      <w:r>
        <w:rPr>
          <w:rFonts w:eastAsia="MS Mincho"/>
          <w:iCs/>
          <w:lang w:eastAsia="ja-JP"/>
        </w:rPr>
        <w:t>After the RAN1 adhoc #2 meeting the following was agreed:</w:t>
      </w:r>
    </w:p>
    <w:p w14:paraId="18B35A26" w14:textId="545F2EB8" w:rsidR="002966E4" w:rsidRPr="002966E4" w:rsidRDefault="002966E4" w:rsidP="002966E4">
      <w:pPr>
        <w:spacing w:after="0"/>
        <w:rPr>
          <w:rFonts w:eastAsia="MS Mincho"/>
          <w:lang w:eastAsia="ja-JP"/>
        </w:rPr>
      </w:pPr>
      <w:r>
        <w:rPr>
          <w:rFonts w:eastAsia="MS Mincho"/>
          <w:lang w:eastAsia="ja-JP"/>
        </w:rPr>
        <w:t xml:space="preserve">• </w:t>
      </w:r>
      <w:r w:rsidRPr="002966E4">
        <w:rPr>
          <w:rFonts w:eastAsia="MS Mincho"/>
          <w:lang w:eastAsia="ja-JP"/>
        </w:rPr>
        <w:t>On the search space</w:t>
      </w:r>
    </w:p>
    <w:p w14:paraId="3396182E" w14:textId="3BDAC01D" w:rsidR="002966E4" w:rsidRPr="002966E4" w:rsidRDefault="002966E4" w:rsidP="00CE5F8B">
      <w:pPr>
        <w:pStyle w:val="ListParagraph"/>
        <w:numPr>
          <w:ilvl w:val="1"/>
          <w:numId w:val="10"/>
        </w:numPr>
        <w:rPr>
          <w:rFonts w:eastAsia="MS Mincho"/>
          <w:lang w:eastAsia="ja-JP"/>
        </w:rPr>
      </w:pPr>
      <w:r w:rsidRPr="002966E4">
        <w:rPr>
          <w:rFonts w:eastAsia="MS Mincho"/>
          <w:lang w:eastAsia="ja-JP"/>
        </w:rPr>
        <w:t>A UE monitors PDCCH candidates in common search space(s) at least for RMSI and UE specific search space(s) on Primary Component Carrier (PCC)</w:t>
      </w:r>
    </w:p>
    <w:p w14:paraId="202A7547" w14:textId="1A67EA3B" w:rsidR="002966E4" w:rsidRPr="002966E4" w:rsidRDefault="002966E4" w:rsidP="00CE5F8B">
      <w:pPr>
        <w:pStyle w:val="ListParagraph"/>
        <w:numPr>
          <w:ilvl w:val="1"/>
          <w:numId w:val="10"/>
        </w:numPr>
        <w:rPr>
          <w:rFonts w:eastAsia="MS Mincho"/>
          <w:lang w:eastAsia="ja-JP"/>
        </w:rPr>
      </w:pPr>
      <w:r w:rsidRPr="002966E4">
        <w:rPr>
          <w:rFonts w:eastAsia="MS Mincho"/>
          <w:lang w:eastAsia="ja-JP"/>
        </w:rPr>
        <w:t>A UE monitors PDCCH candidates at least on UE-specific search space(s) for an Secondary Component Carrier (SCC)</w:t>
      </w:r>
    </w:p>
    <w:p w14:paraId="17E1F319" w14:textId="3A6C1075" w:rsidR="002966E4" w:rsidRPr="002966E4" w:rsidRDefault="002966E4" w:rsidP="002966E4">
      <w:pPr>
        <w:spacing w:after="0"/>
        <w:rPr>
          <w:rFonts w:eastAsia="MS Mincho"/>
          <w:lang w:eastAsia="ja-JP"/>
        </w:rPr>
      </w:pPr>
      <w:r>
        <w:rPr>
          <w:rFonts w:eastAsia="MS Mincho"/>
          <w:lang w:eastAsia="ja-JP"/>
        </w:rPr>
        <w:t xml:space="preserve">• </w:t>
      </w:r>
      <w:r w:rsidRPr="002966E4">
        <w:rPr>
          <w:rFonts w:eastAsia="MS Mincho"/>
          <w:lang w:eastAsia="ja-JP"/>
        </w:rPr>
        <w:t xml:space="preserve">Support cross carrier scheduling with CIF </w:t>
      </w:r>
    </w:p>
    <w:p w14:paraId="5237B270" w14:textId="64363188" w:rsidR="002966E4" w:rsidRPr="002966E4" w:rsidRDefault="002966E4" w:rsidP="00CE5F8B">
      <w:pPr>
        <w:pStyle w:val="ListParagraph"/>
        <w:numPr>
          <w:ilvl w:val="1"/>
          <w:numId w:val="10"/>
        </w:numPr>
        <w:rPr>
          <w:rFonts w:eastAsia="MS Mincho"/>
          <w:lang w:eastAsia="ja-JP"/>
        </w:rPr>
      </w:pPr>
      <w:r w:rsidRPr="002966E4">
        <w:rPr>
          <w:rFonts w:eastAsia="MS Mincho"/>
          <w:lang w:eastAsia="ja-JP"/>
        </w:rPr>
        <w:t>NR at least support that a carrier is scheduled by one and only one carrier</w:t>
      </w:r>
    </w:p>
    <w:p w14:paraId="3DC560E8" w14:textId="27C59E62" w:rsidR="002966E4" w:rsidRPr="002966E4" w:rsidRDefault="002966E4" w:rsidP="00CE5F8B">
      <w:pPr>
        <w:pStyle w:val="ListParagraph"/>
        <w:numPr>
          <w:ilvl w:val="1"/>
          <w:numId w:val="10"/>
        </w:numPr>
        <w:rPr>
          <w:rFonts w:eastAsia="MS Mincho"/>
          <w:lang w:eastAsia="ja-JP"/>
        </w:rPr>
      </w:pPr>
      <w:r w:rsidRPr="002966E4">
        <w:rPr>
          <w:rFonts w:eastAsia="MS Mincho"/>
          <w:lang w:eastAsia="ja-JP"/>
        </w:rPr>
        <w:t>FFS: the number of CIF bits</w:t>
      </w:r>
    </w:p>
    <w:p w14:paraId="58238589" w14:textId="1979592C" w:rsidR="002966E4" w:rsidRPr="002966E4" w:rsidRDefault="002966E4" w:rsidP="00CE5F8B">
      <w:pPr>
        <w:pStyle w:val="ListParagraph"/>
        <w:numPr>
          <w:ilvl w:val="1"/>
          <w:numId w:val="10"/>
        </w:numPr>
        <w:rPr>
          <w:rFonts w:eastAsia="MS Mincho"/>
          <w:lang w:eastAsia="ja-JP"/>
        </w:rPr>
      </w:pPr>
      <w:r w:rsidRPr="002966E4">
        <w:rPr>
          <w:rFonts w:eastAsia="MS Mincho"/>
          <w:lang w:eastAsia="ja-JP"/>
        </w:rPr>
        <w:t>FFS: BWP aspects for cross carrier scheduling</w:t>
      </w:r>
    </w:p>
    <w:p w14:paraId="65C6D021" w14:textId="51BD389C" w:rsidR="002966E4" w:rsidRPr="002966E4" w:rsidRDefault="002966E4" w:rsidP="002966E4">
      <w:pPr>
        <w:spacing w:after="0"/>
        <w:rPr>
          <w:rFonts w:eastAsia="MS Mincho"/>
          <w:lang w:eastAsia="ja-JP"/>
        </w:rPr>
      </w:pPr>
      <w:r>
        <w:rPr>
          <w:rFonts w:eastAsia="MS Mincho"/>
          <w:lang w:eastAsia="ja-JP"/>
        </w:rPr>
        <w:t xml:space="preserve">• </w:t>
      </w:r>
      <w:r w:rsidRPr="002966E4">
        <w:rPr>
          <w:rFonts w:eastAsia="MS Mincho"/>
          <w:lang w:eastAsia="ja-JP"/>
        </w:rPr>
        <w:t>For cross-carrier scheduling, PDCCH and the scheduled PDSCH can have the same or different numerologies.</w:t>
      </w:r>
    </w:p>
    <w:p w14:paraId="172B6964" w14:textId="7F64A130" w:rsidR="002966E4" w:rsidRPr="002966E4" w:rsidRDefault="002966E4" w:rsidP="002966E4">
      <w:pPr>
        <w:spacing w:after="0"/>
        <w:rPr>
          <w:rFonts w:eastAsia="MS Mincho"/>
          <w:lang w:eastAsia="ja-JP"/>
        </w:rPr>
      </w:pPr>
      <w:r>
        <w:rPr>
          <w:rFonts w:eastAsia="MS Mincho"/>
          <w:lang w:eastAsia="ja-JP"/>
        </w:rPr>
        <w:t xml:space="preserve">• </w:t>
      </w:r>
      <w:r w:rsidRPr="002966E4">
        <w:rPr>
          <w:rFonts w:eastAsia="MS Mincho"/>
          <w:lang w:eastAsia="ja-JP"/>
        </w:rPr>
        <w:t>For self-scheduling, PDCCH and the scheduled PDSCH have the same numerology</w:t>
      </w:r>
    </w:p>
    <w:p w14:paraId="7776EE47" w14:textId="161A217C" w:rsidR="002966E4" w:rsidRPr="002966E4" w:rsidRDefault="00180366" w:rsidP="00CE5F8B">
      <w:pPr>
        <w:pStyle w:val="ListParagraph"/>
        <w:numPr>
          <w:ilvl w:val="1"/>
          <w:numId w:val="10"/>
        </w:numPr>
        <w:rPr>
          <w:rFonts w:eastAsia="MS Mincho"/>
          <w:lang w:eastAsia="ja-JP"/>
        </w:rPr>
      </w:pPr>
      <w:r w:rsidRPr="002966E4">
        <w:rPr>
          <w:rFonts w:eastAsia="MS Mincho"/>
          <w:lang w:eastAsia="ja-JP"/>
        </w:rPr>
        <w:t>FFS whether for self-scheduling, PDCCH and the scheduled PDSCH can have different numerologies</w:t>
      </w:r>
      <w:r w:rsidR="002966E4" w:rsidRPr="002966E4">
        <w:rPr>
          <w:rFonts w:eastAsia="MS Mincho"/>
          <w:lang w:eastAsia="ja-JP"/>
        </w:rPr>
        <w:t>.</w:t>
      </w:r>
    </w:p>
    <w:p w14:paraId="28A0088A" w14:textId="466C4CAE" w:rsidR="002966E4" w:rsidRPr="002966E4" w:rsidRDefault="002966E4" w:rsidP="002966E4">
      <w:pPr>
        <w:spacing w:after="0"/>
        <w:rPr>
          <w:rFonts w:eastAsia="MS Mincho"/>
          <w:lang w:eastAsia="ja-JP"/>
        </w:rPr>
      </w:pPr>
      <w:r w:rsidRPr="002966E4">
        <w:rPr>
          <w:rFonts w:eastAsia="MS Mincho"/>
          <w:lang w:eastAsia="ja-JP"/>
        </w:rPr>
        <w:t>•</w:t>
      </w:r>
      <w:r>
        <w:rPr>
          <w:rFonts w:eastAsia="MS Mincho"/>
          <w:lang w:eastAsia="ja-JP"/>
        </w:rPr>
        <w:t xml:space="preserve"> </w:t>
      </w:r>
      <w:r w:rsidRPr="002966E4">
        <w:rPr>
          <w:rFonts w:eastAsia="MS Mincho"/>
          <w:lang w:eastAsia="ja-JP"/>
        </w:rPr>
        <w:t>For self and cross-carrier scheduling, PDCCH and the scheduled PUSCH can have the same or different numerologies.</w:t>
      </w:r>
    </w:p>
    <w:p w14:paraId="1E745B98" w14:textId="3FA37E79" w:rsidR="002966E4" w:rsidRPr="002966E4" w:rsidRDefault="002966E4" w:rsidP="002966E4">
      <w:pPr>
        <w:spacing w:after="0"/>
        <w:rPr>
          <w:rFonts w:eastAsia="MS Mincho"/>
          <w:lang w:eastAsia="ja-JP"/>
        </w:rPr>
      </w:pPr>
      <w:r w:rsidRPr="002966E4">
        <w:rPr>
          <w:rFonts w:eastAsia="MS Mincho"/>
          <w:lang w:eastAsia="ja-JP"/>
        </w:rPr>
        <w:t>• When numerology are different between PDCCH and the scheduled transmission, the time granularity indicated in the DCI for the timing relationship between the end of PDCCH and the corresponding scheduled transmission is based on the numerology of the scheduled transmission.</w:t>
      </w:r>
    </w:p>
    <w:p w14:paraId="70EA984E" w14:textId="092C4B7A" w:rsidR="002966E4" w:rsidRPr="002966E4" w:rsidRDefault="002966E4" w:rsidP="002966E4">
      <w:pPr>
        <w:spacing w:after="0"/>
        <w:rPr>
          <w:rFonts w:eastAsia="MS Mincho"/>
          <w:lang w:eastAsia="ja-JP"/>
        </w:rPr>
      </w:pPr>
      <w:r w:rsidRPr="002966E4">
        <w:rPr>
          <w:rFonts w:eastAsia="MS Mincho"/>
          <w:lang w:eastAsia="ja-JP"/>
        </w:rPr>
        <w:t>• For multiple timing advance groups</w:t>
      </w:r>
    </w:p>
    <w:p w14:paraId="72E1CA1D" w14:textId="2B553AAE" w:rsidR="002966E4" w:rsidRPr="002966E4" w:rsidRDefault="002966E4" w:rsidP="00CE5F8B">
      <w:pPr>
        <w:pStyle w:val="ListParagraph"/>
        <w:numPr>
          <w:ilvl w:val="1"/>
          <w:numId w:val="10"/>
        </w:numPr>
        <w:rPr>
          <w:rFonts w:eastAsia="MS Mincho"/>
          <w:lang w:eastAsia="ja-JP"/>
        </w:rPr>
      </w:pPr>
      <w:r w:rsidRPr="002966E4">
        <w:rPr>
          <w:rFonts w:eastAsia="MS Mincho"/>
          <w:lang w:eastAsia="ja-JP"/>
        </w:rPr>
        <w:t>LTE timing difference requirement can be used as a starting point</w:t>
      </w:r>
    </w:p>
    <w:p w14:paraId="5B13BC62" w14:textId="07539731" w:rsidR="002966E4" w:rsidRPr="00E80B1C" w:rsidRDefault="002966E4" w:rsidP="00CE5F8B">
      <w:pPr>
        <w:pStyle w:val="ListParagraph"/>
        <w:numPr>
          <w:ilvl w:val="0"/>
          <w:numId w:val="13"/>
        </w:numPr>
        <w:rPr>
          <w:rFonts w:eastAsia="MS Mincho"/>
          <w:lang w:eastAsia="ja-JP"/>
        </w:rPr>
      </w:pPr>
      <w:r w:rsidRPr="00E80B1C">
        <w:rPr>
          <w:rFonts w:eastAsia="MS Mincho"/>
          <w:lang w:eastAsia="ja-JP"/>
        </w:rPr>
        <w:t>FFS factors related to this requirement.</w:t>
      </w:r>
    </w:p>
    <w:p w14:paraId="1F2EF390" w14:textId="2E3E8867" w:rsidR="002966E4" w:rsidRPr="00E80B1C" w:rsidRDefault="002966E4" w:rsidP="00CE5F8B">
      <w:pPr>
        <w:pStyle w:val="ListParagraph"/>
        <w:numPr>
          <w:ilvl w:val="1"/>
          <w:numId w:val="10"/>
        </w:numPr>
        <w:rPr>
          <w:rFonts w:eastAsia="MS Mincho"/>
          <w:lang w:eastAsia="ja-JP"/>
        </w:rPr>
      </w:pPr>
      <w:r w:rsidRPr="00E80B1C">
        <w:rPr>
          <w:rFonts w:eastAsia="MS Mincho"/>
          <w:lang w:eastAsia="ja-JP"/>
        </w:rPr>
        <w:t>Support PRACH transmission for timing advance acquisition on SCC</w:t>
      </w:r>
    </w:p>
    <w:p w14:paraId="6742ADBB" w14:textId="4BD0AEB6" w:rsidR="002966E4" w:rsidRPr="002966E4" w:rsidRDefault="00E80B1C" w:rsidP="002966E4">
      <w:pPr>
        <w:spacing w:after="0"/>
        <w:rPr>
          <w:rFonts w:eastAsia="MS Mincho"/>
          <w:lang w:eastAsia="ja-JP"/>
        </w:rPr>
      </w:pPr>
      <w:r>
        <w:rPr>
          <w:rFonts w:eastAsia="MS Mincho"/>
          <w:lang w:eastAsia="ja-JP"/>
        </w:rPr>
        <w:t xml:space="preserve">• </w:t>
      </w:r>
      <w:r w:rsidR="002966E4" w:rsidRPr="002966E4">
        <w:rPr>
          <w:rFonts w:eastAsia="MS Mincho"/>
          <w:lang w:eastAsia="ja-JP"/>
        </w:rPr>
        <w:t>NR Supports 2 cell groups for PUCCH for NR DC</w:t>
      </w:r>
    </w:p>
    <w:p w14:paraId="51B22030" w14:textId="2D5E04D3" w:rsidR="003707D2" w:rsidRPr="00E80B1C" w:rsidRDefault="002966E4" w:rsidP="00CE5F8B">
      <w:pPr>
        <w:pStyle w:val="ListParagraph"/>
        <w:numPr>
          <w:ilvl w:val="1"/>
          <w:numId w:val="10"/>
        </w:numPr>
        <w:rPr>
          <w:rFonts w:eastAsia="MS Mincho"/>
          <w:lang w:val="en-GB" w:eastAsia="ja-JP"/>
        </w:rPr>
      </w:pPr>
      <w:r w:rsidRPr="00E80B1C">
        <w:rPr>
          <w:rFonts w:eastAsia="MS Mincho"/>
          <w:lang w:eastAsia="ja-JP"/>
        </w:rPr>
        <w:lastRenderedPageBreak/>
        <w:t>FFS: NR supports 2 cell groups for PUCCH for NR CA</w:t>
      </w:r>
    </w:p>
    <w:p w14:paraId="4B1FBC5C" w14:textId="03A0808D" w:rsidR="00E80B1C" w:rsidRPr="00E80B1C" w:rsidRDefault="00E80B1C" w:rsidP="00E80B1C">
      <w:pPr>
        <w:spacing w:after="0"/>
        <w:rPr>
          <w:rFonts w:eastAsia="MS Mincho"/>
          <w:lang w:eastAsia="ja-JP"/>
        </w:rPr>
      </w:pPr>
      <w:r>
        <w:rPr>
          <w:rFonts w:eastAsia="MS Mincho"/>
          <w:lang w:eastAsia="ja-JP"/>
        </w:rPr>
        <w:t xml:space="preserve">• </w:t>
      </w:r>
      <w:r w:rsidRPr="00E80B1C">
        <w:rPr>
          <w:rFonts w:eastAsia="MS Mincho"/>
          <w:lang w:eastAsia="ja-JP"/>
        </w:rPr>
        <w:t>HARQ-ACK transmission related to multiple DL component carriers is supported for DL component carriers operating with the same and different numerology</w:t>
      </w:r>
    </w:p>
    <w:p w14:paraId="0AEBEFCB" w14:textId="22266C7A" w:rsidR="00E80B1C" w:rsidRPr="00E80B1C" w:rsidRDefault="00E80B1C" w:rsidP="00CE5F8B">
      <w:pPr>
        <w:pStyle w:val="ListParagraph"/>
        <w:numPr>
          <w:ilvl w:val="1"/>
          <w:numId w:val="10"/>
        </w:numPr>
        <w:rPr>
          <w:rFonts w:eastAsia="MS Mincho"/>
          <w:lang w:eastAsia="ja-JP"/>
        </w:rPr>
      </w:pPr>
      <w:r w:rsidRPr="00E80B1C">
        <w:rPr>
          <w:rFonts w:eastAsia="MS Mincho"/>
          <w:lang w:eastAsia="ja-JP"/>
        </w:rPr>
        <w:t>The time granularity of a HARQ-ACK transmission, indicated in the DCI scheduling the PDSCH, is based on the numerology of PUCCH transmission.</w:t>
      </w:r>
    </w:p>
    <w:p w14:paraId="5925009D" w14:textId="14F10146" w:rsidR="004000E8" w:rsidRDefault="004000E8" w:rsidP="00CE0424">
      <w:pPr>
        <w:pStyle w:val="Heading1"/>
        <w:rPr>
          <w:lang w:val="en-US"/>
        </w:rPr>
      </w:pPr>
      <w:bookmarkStart w:id="5" w:name="_Ref178064866"/>
      <w:r w:rsidRPr="007B78FE">
        <w:rPr>
          <w:lang w:val="en-US"/>
        </w:rPr>
        <w:t>Discussion</w:t>
      </w:r>
      <w:bookmarkEnd w:id="5"/>
    </w:p>
    <w:p w14:paraId="0118A66D" w14:textId="2C0BBF64" w:rsidR="00200A2C" w:rsidRDefault="00200A2C" w:rsidP="00D94796">
      <w:r>
        <w:t xml:space="preserve">The PUCCH in one cell group can be configured on any UL carrier within the cell group. This to allow aggregation of low band together with high band wherein the HARQ feedback from the DL in a higher band goes on lower band. It is noted that the opposite should be allowed </w:t>
      </w:r>
      <w:r w:rsidR="005A7282">
        <w:t xml:space="preserve">as well </w:t>
      </w:r>
      <w:r>
        <w:t>from the signalling. So no strict limitations should be introduced in terms of what is signalled and whether to deploy in certain way becomes a network deployment questions.</w:t>
      </w:r>
    </w:p>
    <w:p w14:paraId="17AA31E9" w14:textId="71CA6159" w:rsidR="00200A2C" w:rsidRPr="00200A2C" w:rsidRDefault="00200A2C" w:rsidP="00D94796">
      <w:pPr>
        <w:rPr>
          <w:b/>
        </w:rPr>
      </w:pPr>
      <w:r w:rsidRPr="00200A2C">
        <w:rPr>
          <w:b/>
        </w:rPr>
        <w:t>Proposal</w:t>
      </w:r>
    </w:p>
    <w:p w14:paraId="7C0599C0" w14:textId="0C66F9BB" w:rsidR="00200A2C" w:rsidRDefault="00200A2C" w:rsidP="00CE5F8B">
      <w:pPr>
        <w:pStyle w:val="ListParagraph"/>
        <w:numPr>
          <w:ilvl w:val="0"/>
          <w:numId w:val="12"/>
        </w:numPr>
        <w:rPr>
          <w:rFonts w:ascii="Arial" w:hAnsi="Arial" w:cs="Arial"/>
          <w:i/>
        </w:rPr>
      </w:pPr>
      <w:r w:rsidRPr="00D85EA9">
        <w:rPr>
          <w:rFonts w:ascii="Arial" w:hAnsi="Arial" w:cs="Arial"/>
          <w:i/>
          <w:sz w:val="20"/>
          <w:szCs w:val="20"/>
        </w:rPr>
        <w:t>An PUCCH in a cell group can be configured on any UL carrier within the cell grou</w:t>
      </w:r>
      <w:r w:rsidRPr="00200A2C">
        <w:rPr>
          <w:rFonts w:ascii="Arial" w:hAnsi="Arial" w:cs="Arial"/>
          <w:i/>
        </w:rPr>
        <w:t>p</w:t>
      </w:r>
    </w:p>
    <w:p w14:paraId="65872544" w14:textId="68DF1E03" w:rsidR="00200A2C" w:rsidRDefault="00200A2C" w:rsidP="00200A2C">
      <w:pPr>
        <w:rPr>
          <w:rFonts w:cs="Arial"/>
          <w:i/>
        </w:rPr>
      </w:pPr>
    </w:p>
    <w:p w14:paraId="155234C1" w14:textId="458AF896" w:rsidR="00FD47C7" w:rsidRDefault="00D74894" w:rsidP="00200A2C">
      <w:pPr>
        <w:rPr>
          <w:rFonts w:cs="Arial"/>
        </w:rPr>
      </w:pPr>
      <w:r w:rsidRPr="00715A0E">
        <w:rPr>
          <w:rFonts w:cs="Arial"/>
        </w:rPr>
        <w:t>In NR HARQ feedback timing can be</w:t>
      </w:r>
      <w:r>
        <w:rPr>
          <w:rFonts w:cs="Arial"/>
        </w:rPr>
        <w:t xml:space="preserve"> indicated in the DL assignment, e.g. </w:t>
      </w:r>
      <w:r w:rsidR="00191947">
        <w:rPr>
          <w:rFonts w:cs="Arial"/>
        </w:rPr>
        <w:t>as a</w:t>
      </w:r>
      <w:r>
        <w:rPr>
          <w:rFonts w:cs="Arial"/>
        </w:rPr>
        <w:t xml:space="preserve"> slot offset to the slot containing PDSCH. The timing offset </w:t>
      </w:r>
      <w:r w:rsidR="00191947">
        <w:rPr>
          <w:rFonts w:cs="Arial"/>
        </w:rPr>
        <w:t>should be</w:t>
      </w:r>
      <w:r>
        <w:rPr>
          <w:rFonts w:cs="Arial"/>
        </w:rPr>
        <w:t xml:space="preserve"> expressed in terms of the numerology used by the PUCCH transmission. </w:t>
      </w:r>
      <w:r w:rsidR="00FD47C7">
        <w:rPr>
          <w:rFonts w:cs="Arial"/>
        </w:rPr>
        <w:t xml:space="preserve">The slot offset indicates HARQ feedback should be transmitted </w:t>
      </w:r>
      <w:r w:rsidR="00FD47C7" w:rsidRPr="00715A0E">
        <w:rPr>
          <w:rFonts w:cs="Arial"/>
          <w:i/>
        </w:rPr>
        <w:t>k</w:t>
      </w:r>
      <w:r w:rsidR="00FD47C7">
        <w:rPr>
          <w:rFonts w:cs="Arial"/>
        </w:rPr>
        <w:t xml:space="preserve"> slot intervals (measured in PUCCH numerology) after the current slot interval</w:t>
      </w:r>
      <w:r w:rsidR="00FC0B15">
        <w:rPr>
          <w:rFonts w:cs="Arial"/>
        </w:rPr>
        <w:t xml:space="preserve"> </w:t>
      </w:r>
      <w:r w:rsidR="00FC0B15" w:rsidRPr="00715A0E">
        <w:rPr>
          <w:rFonts w:cs="Arial"/>
          <w:i/>
        </w:rPr>
        <w:t>n</w:t>
      </w:r>
      <w:r w:rsidR="00FD47C7">
        <w:rPr>
          <w:rFonts w:cs="Arial"/>
        </w:rPr>
        <w:t>. Since PDSCH and PUCCH slot intervals can be different “current” slot needs to be clarified. Figure 1 shows the case that slot interval in PUCCH numerology is longer than PDSCH slot interval. The opposite case, i.e. PUCCH slot interval is shorter than PDSCH slot interval, is shown in Figure 2. Here the current slot refers to the last PUCCH slot interval overlapping PDSCH slot interval</w:t>
      </w:r>
      <w:r w:rsidR="00FC0B15">
        <w:rPr>
          <w:rFonts w:cs="Arial"/>
        </w:rPr>
        <w:t xml:space="preserve"> (HARQ feedback cannot be transmitted before the DL transmission ends, therefore it makes sense to define the last overlapping PUCCH slot interval as current slot interval).</w:t>
      </w:r>
    </w:p>
    <w:p w14:paraId="29B089AB" w14:textId="77777777" w:rsidR="00832408" w:rsidRPr="00200A2C" w:rsidRDefault="00832408" w:rsidP="00832408">
      <w:pPr>
        <w:rPr>
          <w:b/>
        </w:rPr>
      </w:pPr>
      <w:r w:rsidRPr="00200A2C">
        <w:rPr>
          <w:b/>
        </w:rPr>
        <w:t>Proposal</w:t>
      </w:r>
    </w:p>
    <w:p w14:paraId="749E1C6A" w14:textId="5F449BF4" w:rsidR="00832408" w:rsidRPr="00200A2C" w:rsidRDefault="00832408" w:rsidP="00CE5F8B">
      <w:pPr>
        <w:pStyle w:val="ListParagraph"/>
        <w:numPr>
          <w:ilvl w:val="0"/>
          <w:numId w:val="11"/>
        </w:numPr>
        <w:rPr>
          <w:i/>
        </w:rPr>
      </w:pPr>
      <w:r w:rsidRPr="00200A2C">
        <w:rPr>
          <w:i/>
        </w:rPr>
        <w:t xml:space="preserve">The </w:t>
      </w:r>
      <w:r>
        <w:rPr>
          <w:i/>
        </w:rPr>
        <w:t>HARQ timing indication signaled in the DCI is expressed in terms of PUCCH numerology</w:t>
      </w:r>
    </w:p>
    <w:p w14:paraId="793659EA" w14:textId="4DCE0C52" w:rsidR="00832408" w:rsidRPr="00715A0E" w:rsidRDefault="001B4B1C" w:rsidP="00715A0E">
      <w:pPr>
        <w:jc w:val="center"/>
        <w:rPr>
          <w:rFonts w:cs="Arial"/>
        </w:rPr>
      </w:pPr>
      <w:r>
        <w:rPr>
          <w:rFonts w:cs="Arial"/>
          <w:noProof/>
        </w:rPr>
        <w:drawing>
          <wp:inline distT="0" distB="0" distL="0" distR="0" wp14:anchorId="74BB7DC1" wp14:editId="57D43864">
            <wp:extent cx="2728800" cy="243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2.png"/>
                    <pic:cNvPicPr/>
                  </pic:nvPicPr>
                  <pic:blipFill>
                    <a:blip r:embed="rId9">
                      <a:extLst>
                        <a:ext uri="{28A0092B-C50C-407E-A947-70E740481C1C}">
                          <a14:useLocalDpi xmlns:a14="http://schemas.microsoft.com/office/drawing/2010/main" val="0"/>
                        </a:ext>
                      </a:extLst>
                    </a:blip>
                    <a:stretch>
                      <a:fillRect/>
                    </a:stretch>
                  </pic:blipFill>
                  <pic:spPr>
                    <a:xfrm>
                      <a:off x="0" y="0"/>
                      <a:ext cx="2728800" cy="2430000"/>
                    </a:xfrm>
                    <a:prstGeom prst="rect">
                      <a:avLst/>
                    </a:prstGeom>
                  </pic:spPr>
                </pic:pic>
              </a:graphicData>
            </a:graphic>
          </wp:inline>
        </w:drawing>
      </w:r>
    </w:p>
    <w:p w14:paraId="095B8D5D" w14:textId="5B70010B" w:rsidR="00FC0B15" w:rsidRDefault="00FC0B15" w:rsidP="00200A2C">
      <w:pPr>
        <w:rPr>
          <w:rFonts w:cs="Arial"/>
        </w:rPr>
      </w:pPr>
      <w:r>
        <w:rPr>
          <w:rFonts w:cs="Arial"/>
        </w:rPr>
        <w:t xml:space="preserve">Figure 1: Definition of “current” slot interval </w:t>
      </w:r>
      <w:r w:rsidRPr="00715A0E">
        <w:rPr>
          <w:rFonts w:cs="Arial"/>
          <w:i/>
        </w:rPr>
        <w:t>n</w:t>
      </w:r>
      <w:r>
        <w:rPr>
          <w:rFonts w:cs="Arial"/>
        </w:rPr>
        <w:t xml:space="preserve"> when HARQ feedback should be transmitted in slot interval </w:t>
      </w:r>
      <m:oMath>
        <m:r>
          <w:rPr>
            <w:rFonts w:ascii="Cambria Math" w:hAnsi="Cambria Math" w:cs="Arial"/>
          </w:rPr>
          <m:t>n+k</m:t>
        </m:r>
      </m:oMath>
      <w:r>
        <w:rPr>
          <w:rFonts w:cs="Arial"/>
        </w:rPr>
        <w:t>.  Slot interval of PUCCH numerology is longer than slot interval of PDSCH numerology.</w:t>
      </w:r>
    </w:p>
    <w:p w14:paraId="5CDB4CCC" w14:textId="5625B11F" w:rsidR="00FD47C7" w:rsidRDefault="00FD47C7" w:rsidP="00715A0E">
      <w:pPr>
        <w:jc w:val="center"/>
        <w:rPr>
          <w:rFonts w:cs="Arial"/>
        </w:rPr>
      </w:pPr>
    </w:p>
    <w:p w14:paraId="0C3A5AFF" w14:textId="35C8BEC0" w:rsidR="001B4B1C" w:rsidRDefault="001B4B1C" w:rsidP="00715A0E">
      <w:pPr>
        <w:jc w:val="center"/>
        <w:rPr>
          <w:rFonts w:cs="Arial"/>
        </w:rPr>
      </w:pPr>
      <w:r>
        <w:rPr>
          <w:rFonts w:cs="Arial"/>
          <w:noProof/>
        </w:rPr>
        <w:lastRenderedPageBreak/>
        <w:drawing>
          <wp:inline distT="0" distB="0" distL="0" distR="0" wp14:anchorId="714A9DCB" wp14:editId="569470FA">
            <wp:extent cx="2718000" cy="2228400"/>
            <wp:effectExtent l="0" t="0" r="635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0">
                      <a:extLst>
                        <a:ext uri="{28A0092B-C50C-407E-A947-70E740481C1C}">
                          <a14:useLocalDpi xmlns:a14="http://schemas.microsoft.com/office/drawing/2010/main" val="0"/>
                        </a:ext>
                      </a:extLst>
                    </a:blip>
                    <a:stretch>
                      <a:fillRect/>
                    </a:stretch>
                  </pic:blipFill>
                  <pic:spPr>
                    <a:xfrm>
                      <a:off x="0" y="0"/>
                      <a:ext cx="2718000" cy="2228400"/>
                    </a:xfrm>
                    <a:prstGeom prst="rect">
                      <a:avLst/>
                    </a:prstGeom>
                  </pic:spPr>
                </pic:pic>
              </a:graphicData>
            </a:graphic>
          </wp:inline>
        </w:drawing>
      </w:r>
    </w:p>
    <w:p w14:paraId="76246119" w14:textId="4DFA090F" w:rsidR="00FC0B15" w:rsidRDefault="00FC0B15" w:rsidP="00FC0B15">
      <w:pPr>
        <w:rPr>
          <w:rFonts w:cs="Arial"/>
        </w:rPr>
      </w:pPr>
      <w:r>
        <w:rPr>
          <w:rFonts w:cs="Arial"/>
        </w:rPr>
        <w:t xml:space="preserve">Figure 2: Definition of “current” slot interval </w:t>
      </w:r>
      <w:r w:rsidRPr="00361EBD">
        <w:rPr>
          <w:rFonts w:cs="Arial"/>
          <w:i/>
        </w:rPr>
        <w:t>n</w:t>
      </w:r>
      <w:r>
        <w:rPr>
          <w:rFonts w:cs="Arial"/>
        </w:rPr>
        <w:t xml:space="preserve"> when HARQ feedback should be transmitted in slot interval </w:t>
      </w:r>
      <m:oMath>
        <m:r>
          <w:rPr>
            <w:rFonts w:ascii="Cambria Math" w:hAnsi="Cambria Math" w:cs="Arial"/>
          </w:rPr>
          <m:t>n+k</m:t>
        </m:r>
      </m:oMath>
      <w:r>
        <w:rPr>
          <w:rFonts w:cs="Arial"/>
        </w:rPr>
        <w:t>.  Slot interval of PUCCH numerology is shorter than slot interval of PDSCH numerology.</w:t>
      </w:r>
    </w:p>
    <w:p w14:paraId="1D3A80B8" w14:textId="136261C3" w:rsidR="00D74894" w:rsidRDefault="00797EA3">
      <w:pPr>
        <w:rPr>
          <w:rFonts w:cs="Arial"/>
        </w:rPr>
      </w:pPr>
      <w:r w:rsidRPr="00797EA3">
        <w:rPr>
          <w:rFonts w:cs="Arial"/>
        </w:rPr>
        <w:t>An additional aspect to consider is whether a single HARQ processes can be moved across component carriers or not. It can be noted that this aspect has been discussed for LTE and not introduced there. There are multiple aspects to consider for this topic. Firstly, how to address the HARQ processes on L1 and the MAC handling for this. The specific gains for the feature in itself is at the same time not directly clear, although increased frequency diversity gains could potentially be achieved. It is noted further that if the feature is not supported on L1 and MAC it will be supported on RLC level.</w:t>
      </w:r>
      <w:r w:rsidR="00A0387B">
        <w:rPr>
          <w:rFonts w:cs="Arial"/>
        </w:rPr>
        <w:t xml:space="preserve"> It is therefore proposed to define t</w:t>
      </w:r>
      <w:r w:rsidR="00FC0B15">
        <w:rPr>
          <w:rFonts w:cs="Arial"/>
        </w:rPr>
        <w:t>he number of HARQ processes per carrier</w:t>
      </w:r>
      <w:r w:rsidR="00832408">
        <w:rPr>
          <w:rFonts w:cs="Arial"/>
        </w:rPr>
        <w:t xml:space="preserve"> and not support p</w:t>
      </w:r>
      <w:r w:rsidR="00A0387B">
        <w:rPr>
          <w:rFonts w:cs="Arial"/>
        </w:rPr>
        <w:t>ooling of HARQ processes across carrier</w:t>
      </w:r>
      <w:r w:rsidR="00832408">
        <w:rPr>
          <w:rFonts w:cs="Arial"/>
        </w:rPr>
        <w:t>s</w:t>
      </w:r>
      <w:r w:rsidR="00A0387B">
        <w:rPr>
          <w:rFonts w:cs="Arial"/>
        </w:rPr>
        <w:t>.</w:t>
      </w:r>
      <w:r w:rsidR="00FD47C7">
        <w:rPr>
          <w:rFonts w:cs="Arial"/>
        </w:rPr>
        <w:t xml:space="preserve"> </w:t>
      </w:r>
      <w:r w:rsidR="00A0387B">
        <w:rPr>
          <w:rFonts w:cs="Arial"/>
        </w:rPr>
        <w:t xml:space="preserve">In companion contribution </w:t>
      </w:r>
      <w:r w:rsidR="00832408">
        <w:rPr>
          <w:rFonts w:cs="Arial"/>
        </w:rPr>
        <w:fldChar w:fldCharType="begin"/>
      </w:r>
      <w:r w:rsidR="00832408">
        <w:rPr>
          <w:rFonts w:cs="Arial"/>
        </w:rPr>
        <w:instrText xml:space="preserve"> REF _Ref485371122 \r \h </w:instrText>
      </w:r>
      <w:r w:rsidR="00832408">
        <w:rPr>
          <w:rFonts w:cs="Arial"/>
        </w:rPr>
      </w:r>
      <w:r w:rsidR="00832408">
        <w:rPr>
          <w:rFonts w:cs="Arial"/>
        </w:rPr>
        <w:fldChar w:fldCharType="separate"/>
      </w:r>
      <w:r w:rsidR="00832408">
        <w:rPr>
          <w:rFonts w:cs="Arial"/>
        </w:rPr>
        <w:t>[5]</w:t>
      </w:r>
      <w:r w:rsidR="00832408">
        <w:rPr>
          <w:rFonts w:cs="Arial"/>
        </w:rPr>
        <w:fldChar w:fldCharType="end"/>
      </w:r>
      <w:r w:rsidR="00A0387B">
        <w:rPr>
          <w:rFonts w:cs="Arial"/>
        </w:rPr>
        <w:t xml:space="preserve"> we propose the number of HARQ processes to be 8, in a carrier aggregation scenario with N aggregated DL carriers the number of HARQ process is thus </w:t>
      </w:r>
      <m:oMath>
        <m:r>
          <w:rPr>
            <w:rFonts w:ascii="Cambria Math" w:hAnsi="Cambria Math" w:cs="Arial"/>
          </w:rPr>
          <m:t>N∙8</m:t>
        </m:r>
      </m:oMath>
      <w:r w:rsidR="00A0387B">
        <w:rPr>
          <w:rFonts w:cs="Arial"/>
        </w:rPr>
        <w:t>.</w:t>
      </w:r>
    </w:p>
    <w:p w14:paraId="48A0F13B" w14:textId="77777777" w:rsidR="00832408" w:rsidRPr="00200A2C" w:rsidRDefault="00832408" w:rsidP="00832408">
      <w:pPr>
        <w:rPr>
          <w:b/>
        </w:rPr>
      </w:pPr>
      <w:r w:rsidRPr="00200A2C">
        <w:rPr>
          <w:b/>
        </w:rPr>
        <w:t>Proposal</w:t>
      </w:r>
    </w:p>
    <w:p w14:paraId="61534FF4" w14:textId="66B9EE34" w:rsidR="00832408" w:rsidRPr="00200A2C" w:rsidRDefault="00832408" w:rsidP="00CE5F8B">
      <w:pPr>
        <w:pStyle w:val="ListParagraph"/>
        <w:numPr>
          <w:ilvl w:val="0"/>
          <w:numId w:val="11"/>
        </w:numPr>
        <w:rPr>
          <w:i/>
        </w:rPr>
      </w:pPr>
      <w:r>
        <w:rPr>
          <w:i/>
        </w:rPr>
        <w:t>HARQ pooling across carriers is not supported.</w:t>
      </w:r>
    </w:p>
    <w:p w14:paraId="404D23B2" w14:textId="77777777" w:rsidR="00832408" w:rsidRPr="00715A0E" w:rsidRDefault="00832408">
      <w:pPr>
        <w:rPr>
          <w:rFonts w:cs="Arial"/>
        </w:rPr>
      </w:pPr>
    </w:p>
    <w:p w14:paraId="685E892F" w14:textId="38642FA4" w:rsidR="00832408" w:rsidRDefault="00832408">
      <w:pPr>
        <w:rPr>
          <w:rFonts w:cs="Arial"/>
        </w:rPr>
      </w:pPr>
      <w:r>
        <w:rPr>
          <w:rFonts w:cs="Arial"/>
        </w:rPr>
        <w:t xml:space="preserve">HARQ feedback for DL carriers configured with different numerologies can be included in the same HARQ codebook. In LTE feCA a concept based on total and counter DAI has been introduced to increase reliability of a HARQ codebook with fast size adaptation. In </w:t>
      </w:r>
      <w:r>
        <w:rPr>
          <w:rFonts w:cs="Arial"/>
        </w:rPr>
        <w:fldChar w:fldCharType="begin"/>
      </w:r>
      <w:r>
        <w:rPr>
          <w:rFonts w:cs="Arial"/>
        </w:rPr>
        <w:instrText xml:space="preserve"> REF _Ref485371450 \r \h </w:instrText>
      </w:r>
      <w:r>
        <w:rPr>
          <w:rFonts w:cs="Arial"/>
        </w:rPr>
      </w:r>
      <w:r>
        <w:rPr>
          <w:rFonts w:cs="Arial"/>
        </w:rPr>
        <w:fldChar w:fldCharType="separate"/>
      </w:r>
      <w:r>
        <w:rPr>
          <w:rFonts w:cs="Arial"/>
        </w:rPr>
        <w:t>[6]</w:t>
      </w:r>
      <w:r>
        <w:rPr>
          <w:rFonts w:cs="Arial"/>
        </w:rPr>
        <w:fldChar w:fldCharType="end"/>
      </w:r>
      <w:r>
        <w:rPr>
          <w:rFonts w:cs="Arial"/>
        </w:rPr>
        <w:t xml:space="preserve"> we propose to specify fast HARQ codebook adaptation for NR. As starting point for </w:t>
      </w:r>
      <w:r w:rsidR="001B4B1C">
        <w:rPr>
          <w:rFonts w:cs="Arial"/>
        </w:rPr>
        <w:t>t</w:t>
      </w:r>
      <w:r>
        <w:rPr>
          <w:rFonts w:cs="Arial"/>
        </w:rPr>
        <w:t>he design of NR HARQ codebook with fast adaption the LTE feCA design can be used. One difference between NR and LTE is that different carriers can have different slot interval</w:t>
      </w:r>
      <w:r w:rsidR="001B4B1C">
        <w:rPr>
          <w:rFonts w:cs="Arial"/>
        </w:rPr>
        <w:t>s</w:t>
      </w:r>
      <w:r>
        <w:rPr>
          <w:rFonts w:cs="Arial"/>
        </w:rPr>
        <w:t>. In LTE PDCCH across all carriers are transmitted time aligned. If in a subframe multiple PDCCH are transmitted all of them contain the same total DAI value and thus redundancy is provided if UE misses some PDCCH. In NR the aggregated carriers can have different slot intervals. Figure 3 shows the case where multiple DL carriers with different slot inter</w:t>
      </w:r>
      <w:r w:rsidR="0040575A">
        <w:rPr>
          <w:rFonts w:cs="Arial"/>
        </w:rPr>
        <w:t>vals are aggregated. A PDCCH transmitted</w:t>
      </w:r>
      <w:r w:rsidR="001B4B1C">
        <w:rPr>
          <w:rFonts w:cs="Arial"/>
        </w:rPr>
        <w:t xml:space="preserve"> on carrier 3</w:t>
      </w:r>
      <w:r w:rsidR="0040575A">
        <w:rPr>
          <w:rFonts w:cs="Arial"/>
        </w:rPr>
        <w:t xml:space="preserve"> in the last </w:t>
      </w:r>
      <w:r w:rsidR="001B4B1C">
        <w:rPr>
          <w:rFonts w:cs="Arial"/>
        </w:rPr>
        <w:t>slot interval (of carrier 3</w:t>
      </w:r>
      <w:r w:rsidR="0040575A">
        <w:rPr>
          <w:rFonts w:cs="Arial"/>
        </w:rPr>
        <w:t xml:space="preserve">) has no or lower redundancy, depending </w:t>
      </w:r>
      <w:r w:rsidR="001B4B1C">
        <w:rPr>
          <w:rFonts w:cs="Arial"/>
        </w:rPr>
        <w:t xml:space="preserve">on </w:t>
      </w:r>
      <w:r w:rsidR="0040575A">
        <w:rPr>
          <w:rFonts w:cs="Arial"/>
        </w:rPr>
        <w:t xml:space="preserve">how many PDCCH are actually scheduled at the last PDCCH opportunity. </w:t>
      </w:r>
    </w:p>
    <w:p w14:paraId="1D62B76E" w14:textId="576EA8FF" w:rsidR="00832408" w:rsidRDefault="00D20AB7" w:rsidP="00715A0E">
      <w:pPr>
        <w:jc w:val="center"/>
        <w:rPr>
          <w:rFonts w:cs="Arial"/>
        </w:rPr>
      </w:pPr>
      <w:r>
        <w:rPr>
          <w:rFonts w:cs="Arial"/>
          <w:noProof/>
        </w:rPr>
        <w:drawing>
          <wp:inline distT="0" distB="0" distL="0" distR="0" wp14:anchorId="7E62F49A" wp14:editId="711003FA">
            <wp:extent cx="4572000" cy="122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png"/>
                    <pic:cNvPicPr/>
                  </pic:nvPicPr>
                  <pic:blipFill>
                    <a:blip r:embed="rId11">
                      <a:extLst>
                        <a:ext uri="{28A0092B-C50C-407E-A947-70E740481C1C}">
                          <a14:useLocalDpi xmlns:a14="http://schemas.microsoft.com/office/drawing/2010/main" val="0"/>
                        </a:ext>
                      </a:extLst>
                    </a:blip>
                    <a:stretch>
                      <a:fillRect/>
                    </a:stretch>
                  </pic:blipFill>
                  <pic:spPr>
                    <a:xfrm>
                      <a:off x="0" y="0"/>
                      <a:ext cx="4572000" cy="1224000"/>
                    </a:xfrm>
                    <a:prstGeom prst="rect">
                      <a:avLst/>
                    </a:prstGeom>
                  </pic:spPr>
                </pic:pic>
              </a:graphicData>
            </a:graphic>
          </wp:inline>
        </w:drawing>
      </w:r>
    </w:p>
    <w:p w14:paraId="10CD5330" w14:textId="60039DD2" w:rsidR="00832408" w:rsidRDefault="0040575A">
      <w:pPr>
        <w:rPr>
          <w:rFonts w:cs="Arial"/>
        </w:rPr>
      </w:pPr>
      <w:r>
        <w:rPr>
          <w:rFonts w:cs="Arial"/>
        </w:rPr>
        <w:t>Figure 3: Carrier aggregation across carriers with different slot intervals.</w:t>
      </w:r>
      <w:r w:rsidR="00832408">
        <w:rPr>
          <w:rFonts w:cs="Arial"/>
        </w:rPr>
        <w:t xml:space="preserve">   </w:t>
      </w:r>
    </w:p>
    <w:p w14:paraId="5FBF33CD" w14:textId="77777777" w:rsidR="001F6CB2" w:rsidRPr="00200A2C" w:rsidRDefault="001F6CB2" w:rsidP="001F6CB2">
      <w:pPr>
        <w:rPr>
          <w:b/>
        </w:rPr>
      </w:pPr>
      <w:r w:rsidRPr="00200A2C">
        <w:rPr>
          <w:b/>
        </w:rPr>
        <w:lastRenderedPageBreak/>
        <w:t>Proposal</w:t>
      </w:r>
    </w:p>
    <w:p w14:paraId="56FF8579" w14:textId="37474855" w:rsidR="001F6CB2" w:rsidRPr="00715A0E" w:rsidRDefault="001F6CB2" w:rsidP="00CE5F8B">
      <w:pPr>
        <w:pStyle w:val="ListParagraph"/>
        <w:numPr>
          <w:ilvl w:val="0"/>
          <w:numId w:val="11"/>
        </w:numPr>
        <w:rPr>
          <w:i/>
        </w:rPr>
      </w:pPr>
      <w:r>
        <w:rPr>
          <w:i/>
        </w:rPr>
        <w:t>HARQ feedback from carriers with 15, 30, 60, and 120 kHz can be multiplexed into the same HARQ codebook.</w:t>
      </w:r>
    </w:p>
    <w:p w14:paraId="2C1B6BD4" w14:textId="77777777" w:rsidR="00C01F33" w:rsidRPr="007B78FE" w:rsidRDefault="00C01F33" w:rsidP="00CE0424">
      <w:pPr>
        <w:pStyle w:val="Heading1"/>
        <w:rPr>
          <w:lang w:val="en-US"/>
        </w:rPr>
      </w:pPr>
      <w:r w:rsidRPr="007B78FE">
        <w:rPr>
          <w:lang w:val="en-US"/>
        </w:rPr>
        <w:t>Conclusion</w:t>
      </w:r>
    </w:p>
    <w:p w14:paraId="0E95D80F" w14:textId="66A1FD73" w:rsidR="001154BD" w:rsidRDefault="008F47B9" w:rsidP="008E065E">
      <w:pPr>
        <w:rPr>
          <w:bCs/>
        </w:rPr>
      </w:pPr>
      <w:r>
        <w:rPr>
          <w:bCs/>
        </w:rPr>
        <w:t xml:space="preserve">In this contribution, we discuss </w:t>
      </w:r>
      <w:r w:rsidR="00E3294E">
        <w:rPr>
          <w:bCs/>
        </w:rPr>
        <w:t xml:space="preserve">CA handling for scheduling and feedback </w:t>
      </w:r>
      <w:r w:rsidR="003707D2">
        <w:rPr>
          <w:bCs/>
        </w:rPr>
        <w:t xml:space="preserve">based on the discussion we propose the following: </w:t>
      </w:r>
    </w:p>
    <w:p w14:paraId="0C7FE5FF" w14:textId="5DDF8FC1" w:rsidR="00C158D7" w:rsidRPr="00C158D7" w:rsidRDefault="00C158D7" w:rsidP="00C158D7">
      <w:pPr>
        <w:rPr>
          <w:b/>
        </w:rPr>
      </w:pPr>
      <w:r w:rsidRPr="00200A2C">
        <w:rPr>
          <w:b/>
        </w:rPr>
        <w:t>Proposal</w:t>
      </w:r>
      <w:r>
        <w:rPr>
          <w:b/>
        </w:rPr>
        <w:t xml:space="preserve"> 1</w:t>
      </w:r>
    </w:p>
    <w:p w14:paraId="21A71E30" w14:textId="77777777" w:rsidR="00C158D7" w:rsidRDefault="00C158D7" w:rsidP="00C158D7">
      <w:pPr>
        <w:pStyle w:val="ListParagraph"/>
        <w:numPr>
          <w:ilvl w:val="0"/>
          <w:numId w:val="12"/>
        </w:numPr>
        <w:rPr>
          <w:rFonts w:ascii="Arial" w:hAnsi="Arial" w:cs="Arial"/>
          <w:i/>
        </w:rPr>
      </w:pPr>
      <w:r w:rsidRPr="00D85EA9">
        <w:rPr>
          <w:rFonts w:ascii="Arial" w:hAnsi="Arial" w:cs="Arial"/>
          <w:i/>
          <w:sz w:val="20"/>
          <w:szCs w:val="20"/>
        </w:rPr>
        <w:t>An PUCCH in a cell group can be configured on any UL carrier within the cell grou</w:t>
      </w:r>
      <w:r w:rsidRPr="00200A2C">
        <w:rPr>
          <w:rFonts w:ascii="Arial" w:hAnsi="Arial" w:cs="Arial"/>
          <w:i/>
        </w:rPr>
        <w:t>p</w:t>
      </w:r>
    </w:p>
    <w:p w14:paraId="6F84FF96" w14:textId="7BB1198B" w:rsidR="00C158D7" w:rsidRDefault="00C158D7" w:rsidP="008E065E">
      <w:pPr>
        <w:rPr>
          <w:bCs/>
        </w:rPr>
      </w:pPr>
    </w:p>
    <w:p w14:paraId="640500F3" w14:textId="1410FA52" w:rsidR="00C158D7" w:rsidRPr="00200A2C" w:rsidRDefault="00C158D7" w:rsidP="00C158D7">
      <w:pPr>
        <w:rPr>
          <w:b/>
        </w:rPr>
      </w:pPr>
      <w:r w:rsidRPr="00200A2C">
        <w:rPr>
          <w:b/>
        </w:rPr>
        <w:t>Proposal</w:t>
      </w:r>
      <w:r>
        <w:rPr>
          <w:b/>
        </w:rPr>
        <w:t xml:space="preserve"> 2</w:t>
      </w:r>
    </w:p>
    <w:p w14:paraId="2F0244CB" w14:textId="45FB1B8E" w:rsidR="00C158D7" w:rsidRDefault="00C158D7" w:rsidP="00C158D7">
      <w:pPr>
        <w:pStyle w:val="ListParagraph"/>
        <w:numPr>
          <w:ilvl w:val="0"/>
          <w:numId w:val="11"/>
        </w:numPr>
        <w:rPr>
          <w:i/>
        </w:rPr>
      </w:pPr>
      <w:r w:rsidRPr="00200A2C">
        <w:rPr>
          <w:i/>
        </w:rPr>
        <w:t xml:space="preserve">The </w:t>
      </w:r>
      <w:r>
        <w:rPr>
          <w:i/>
        </w:rPr>
        <w:t>HARQ timing indication signaled in the DCI is expressed in terms of PUCCH numerology</w:t>
      </w:r>
    </w:p>
    <w:p w14:paraId="4D5CF3B9" w14:textId="77777777" w:rsidR="00C158D7" w:rsidRPr="00200A2C" w:rsidRDefault="00C158D7" w:rsidP="00E0493A">
      <w:pPr>
        <w:pStyle w:val="ListParagraph"/>
        <w:rPr>
          <w:i/>
        </w:rPr>
      </w:pPr>
    </w:p>
    <w:p w14:paraId="71A0C1A9" w14:textId="35C57DB2" w:rsidR="00C158D7" w:rsidRPr="00200A2C" w:rsidRDefault="00C158D7" w:rsidP="00C158D7">
      <w:pPr>
        <w:rPr>
          <w:b/>
        </w:rPr>
      </w:pPr>
      <w:r w:rsidRPr="00200A2C">
        <w:rPr>
          <w:b/>
        </w:rPr>
        <w:t>Proposal</w:t>
      </w:r>
      <w:r>
        <w:rPr>
          <w:b/>
        </w:rPr>
        <w:t xml:space="preserve"> 3</w:t>
      </w:r>
    </w:p>
    <w:p w14:paraId="3F32589F" w14:textId="77777777" w:rsidR="00C158D7" w:rsidRPr="00200A2C" w:rsidRDefault="00C158D7" w:rsidP="00C158D7">
      <w:pPr>
        <w:pStyle w:val="ListParagraph"/>
        <w:numPr>
          <w:ilvl w:val="0"/>
          <w:numId w:val="11"/>
        </w:numPr>
        <w:rPr>
          <w:i/>
        </w:rPr>
      </w:pPr>
      <w:r>
        <w:rPr>
          <w:i/>
        </w:rPr>
        <w:t>HARQ pooling across carriers is not supported.</w:t>
      </w:r>
    </w:p>
    <w:p w14:paraId="542DD8B0" w14:textId="3ED71894" w:rsidR="00C158D7" w:rsidRDefault="00C158D7" w:rsidP="008E065E">
      <w:pPr>
        <w:rPr>
          <w:bCs/>
        </w:rPr>
      </w:pPr>
    </w:p>
    <w:p w14:paraId="784C9D8C" w14:textId="17DCBEBD" w:rsidR="00C158D7" w:rsidRPr="00200A2C" w:rsidRDefault="00C158D7" w:rsidP="00C158D7">
      <w:pPr>
        <w:rPr>
          <w:b/>
        </w:rPr>
      </w:pPr>
      <w:r w:rsidRPr="00200A2C">
        <w:rPr>
          <w:b/>
        </w:rPr>
        <w:t>Proposal</w:t>
      </w:r>
      <w:r>
        <w:rPr>
          <w:b/>
        </w:rPr>
        <w:t xml:space="preserve"> 4</w:t>
      </w:r>
    </w:p>
    <w:p w14:paraId="2E44F2AE" w14:textId="77777777" w:rsidR="00C158D7" w:rsidRPr="00715A0E" w:rsidRDefault="00C158D7" w:rsidP="00C158D7">
      <w:pPr>
        <w:pStyle w:val="ListParagraph"/>
        <w:numPr>
          <w:ilvl w:val="0"/>
          <w:numId w:val="11"/>
        </w:numPr>
        <w:rPr>
          <w:i/>
        </w:rPr>
      </w:pPr>
      <w:r>
        <w:rPr>
          <w:i/>
        </w:rPr>
        <w:t>HARQ feedback from carriers with 15, 30, 60, and 120 kHz can be multiplexed into the same HARQ codebook.</w:t>
      </w:r>
    </w:p>
    <w:p w14:paraId="5CD6C0A7" w14:textId="77777777" w:rsidR="00C158D7" w:rsidRDefault="00C158D7" w:rsidP="008E065E">
      <w:pPr>
        <w:rPr>
          <w:bCs/>
        </w:rPr>
      </w:pPr>
    </w:p>
    <w:p w14:paraId="57B73A36" w14:textId="77777777" w:rsidR="00F507D1" w:rsidRPr="007B78FE" w:rsidRDefault="00F507D1" w:rsidP="00CE0424">
      <w:pPr>
        <w:pStyle w:val="Heading1"/>
        <w:rPr>
          <w:lang w:val="en-US"/>
        </w:rPr>
      </w:pPr>
      <w:bookmarkStart w:id="6" w:name="_In-sequence_SDU_delivery"/>
      <w:bookmarkEnd w:id="6"/>
      <w:r w:rsidRPr="007B78FE">
        <w:rPr>
          <w:lang w:val="en-US"/>
        </w:rPr>
        <w:t>References</w:t>
      </w:r>
    </w:p>
    <w:p w14:paraId="3618435D" w14:textId="039111CA" w:rsidR="00221CBF" w:rsidRDefault="00221CBF" w:rsidP="00221CBF">
      <w:pPr>
        <w:pStyle w:val="Reference"/>
      </w:pPr>
      <w:bookmarkStart w:id="7" w:name="_Ref473934775"/>
      <w:bookmarkStart w:id="8" w:name="_Ref481744756"/>
      <w:bookmarkStart w:id="9" w:name="_Ref174151459"/>
      <w:bookmarkStart w:id="10" w:name="_Ref189809556"/>
      <w:r w:rsidRPr="007B78FE">
        <w:t>Chairman’s Notes, 3GPP TSG RAN WG1 Meeting#8</w:t>
      </w:r>
      <w:bookmarkEnd w:id="7"/>
      <w:bookmarkEnd w:id="8"/>
      <w:r w:rsidR="00ED2A30">
        <w:t>9</w:t>
      </w:r>
      <w:r w:rsidRPr="007B78FE">
        <w:t xml:space="preserve"> </w:t>
      </w:r>
      <w:bookmarkEnd w:id="9"/>
      <w:bookmarkEnd w:id="10"/>
    </w:p>
    <w:p w14:paraId="4FF9375E" w14:textId="1ED2DD1B" w:rsidR="00FC1C60" w:rsidRPr="00DC12C2" w:rsidRDefault="00D85EA9" w:rsidP="00D85EA9">
      <w:pPr>
        <w:pStyle w:val="Reference"/>
      </w:pPr>
      <w:bookmarkStart w:id="11" w:name="_Ref485300160"/>
      <w:r w:rsidRPr="00D85EA9">
        <w:t>R1-1711500</w:t>
      </w:r>
      <w:r w:rsidR="00FC1C60">
        <w:tab/>
      </w:r>
      <w:r w:rsidR="00FC1C60" w:rsidRPr="00DC12C2">
        <w:t xml:space="preserve">On Resource Allocation in the </w:t>
      </w:r>
      <w:r w:rsidR="00FC1C60">
        <w:t>Time</w:t>
      </w:r>
      <w:r w:rsidR="00FC1C60" w:rsidRPr="00DC12C2">
        <w:t xml:space="preserve"> Domain</w:t>
      </w:r>
      <w:r w:rsidR="00FC1C60">
        <w:tab/>
        <w:t>Ericsson</w:t>
      </w:r>
      <w:bookmarkEnd w:id="11"/>
    </w:p>
    <w:p w14:paraId="525109A5" w14:textId="49C677AA" w:rsidR="00FC1C60" w:rsidRPr="00DC12C2" w:rsidRDefault="00D85EA9" w:rsidP="00D85EA9">
      <w:pPr>
        <w:pStyle w:val="Reference"/>
      </w:pPr>
      <w:bookmarkStart w:id="12" w:name="_Ref485300167"/>
      <w:r w:rsidRPr="00D85EA9">
        <w:t>R1-1711499</w:t>
      </w:r>
      <w:r w:rsidR="00FC1C60">
        <w:tab/>
      </w:r>
      <w:r w:rsidR="00FC1C60" w:rsidRPr="00DC12C2">
        <w:t>On Resource Allocation in the Frequency Domain</w:t>
      </w:r>
      <w:r w:rsidR="00FC1C60">
        <w:tab/>
        <w:t>Ericsson</w:t>
      </w:r>
      <w:bookmarkEnd w:id="12"/>
    </w:p>
    <w:p w14:paraId="6F6426FB" w14:textId="5BE99A4B" w:rsidR="00FC1C60" w:rsidRPr="00715A0E" w:rsidRDefault="00D85EA9" w:rsidP="00D85EA9">
      <w:pPr>
        <w:pStyle w:val="Reference"/>
      </w:pPr>
      <w:bookmarkStart w:id="13" w:name="_Ref485301444"/>
      <w:r w:rsidRPr="00D85EA9">
        <w:t>R1-1711516</w:t>
      </w:r>
      <w:r w:rsidR="005A195D">
        <w:tab/>
      </w:r>
      <w:r w:rsidR="005A195D" w:rsidRPr="008F1B97">
        <w:rPr>
          <w:rFonts w:eastAsia="MS Mincho"/>
          <w:lang w:eastAsia="ja-JP"/>
        </w:rPr>
        <w:t>On Mixed Numerology</w:t>
      </w:r>
      <w:r w:rsidR="005A195D">
        <w:rPr>
          <w:rFonts w:eastAsia="MS Mincho"/>
          <w:lang w:eastAsia="ja-JP"/>
        </w:rPr>
        <w:tab/>
        <w:t>Ericsson</w:t>
      </w:r>
      <w:bookmarkEnd w:id="13"/>
    </w:p>
    <w:p w14:paraId="225DD73A" w14:textId="0B51F02C" w:rsidR="00A0387B" w:rsidRDefault="00D85EA9" w:rsidP="00D85EA9">
      <w:pPr>
        <w:pStyle w:val="Reference"/>
      </w:pPr>
      <w:bookmarkStart w:id="14" w:name="_Ref485371122"/>
      <w:r w:rsidRPr="00D85EA9">
        <w:t>R1-1711511</w:t>
      </w:r>
      <w:r w:rsidR="00A0387B">
        <w:t xml:space="preserve"> </w:t>
      </w:r>
      <w:r w:rsidR="00A0387B" w:rsidRPr="00A0387B">
        <w:t>On Minimum Processing Time and Number of HARQ Processes in NR On Minimum Processing Time and Number of HARQ Processes in NR</w:t>
      </w:r>
      <w:r w:rsidR="00A0387B">
        <w:tab/>
        <w:t xml:space="preserve">   Ericsson</w:t>
      </w:r>
      <w:bookmarkEnd w:id="14"/>
    </w:p>
    <w:p w14:paraId="06336D8A" w14:textId="0BA82C35" w:rsidR="00832408" w:rsidRDefault="00D85EA9" w:rsidP="00D85EA9">
      <w:pPr>
        <w:pStyle w:val="Reference"/>
      </w:pPr>
      <w:bookmarkStart w:id="15" w:name="_Ref485371450"/>
      <w:r w:rsidRPr="00D85EA9">
        <w:t>R1-1711510</w:t>
      </w:r>
      <w:r>
        <w:t xml:space="preserve"> </w:t>
      </w:r>
      <w:r w:rsidR="00832408">
        <w:t>On HARQ codebook</w:t>
      </w:r>
      <w:r w:rsidR="00832408">
        <w:tab/>
        <w:t>Ericsson</w:t>
      </w:r>
      <w:bookmarkEnd w:id="15"/>
    </w:p>
    <w:sectPr w:rsidR="0083240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997F2" w14:textId="77777777" w:rsidR="00C372D9" w:rsidRDefault="00C372D9">
      <w:r>
        <w:separator/>
      </w:r>
    </w:p>
  </w:endnote>
  <w:endnote w:type="continuationSeparator" w:id="0">
    <w:p w14:paraId="43DE7FB0" w14:textId="77777777" w:rsidR="00C372D9" w:rsidRDefault="00C37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9E3F2" w14:textId="77777777" w:rsidR="005B6CAA" w:rsidRDefault="005B6C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8F09DD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620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620E">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05986" w14:textId="77777777" w:rsidR="005B6CAA" w:rsidRDefault="005B6C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68D84" w14:textId="77777777" w:rsidR="00C372D9" w:rsidRDefault="00C372D9">
      <w:r>
        <w:separator/>
      </w:r>
    </w:p>
  </w:footnote>
  <w:footnote w:type="continuationSeparator" w:id="0">
    <w:p w14:paraId="12927075" w14:textId="77777777" w:rsidR="00C372D9" w:rsidRDefault="00C37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CC574" w14:textId="77777777" w:rsidR="005B6CAA" w:rsidRDefault="005B6C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C8D2A" w14:textId="77777777" w:rsidR="005B6CAA" w:rsidRDefault="005B6C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E00F5C"/>
    <w:multiLevelType w:val="hybridMultilevel"/>
    <w:tmpl w:val="F0D23348"/>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6F3EC0"/>
    <w:multiLevelType w:val="hybridMultilevel"/>
    <w:tmpl w:val="2C9EFA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8550DD"/>
    <w:multiLevelType w:val="hybridMultilevel"/>
    <w:tmpl w:val="EC506EB2"/>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C8D5098"/>
    <w:multiLevelType w:val="hybridMultilevel"/>
    <w:tmpl w:val="46CEA7CA"/>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491D9A"/>
    <w:multiLevelType w:val="hybridMultilevel"/>
    <w:tmpl w:val="F65CD0A0"/>
    <w:lvl w:ilvl="0" w:tplc="7B4A4510">
      <w:numFmt w:val="bullet"/>
      <w:lvlText w:val="-"/>
      <w:lvlJc w:val="left"/>
      <w:pPr>
        <w:ind w:left="1800" w:hanging="360"/>
      </w:pPr>
      <w:rPr>
        <w:rFonts w:ascii="Arial" w:eastAsia="MS Mincho" w:hAnsi="Arial" w:cs="Aria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8B2EE3"/>
    <w:multiLevelType w:val="hybridMultilevel"/>
    <w:tmpl w:val="2618AA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2F608CC"/>
    <w:multiLevelType w:val="hybridMultilevel"/>
    <w:tmpl w:val="71541BBA"/>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6BA0E11"/>
    <w:multiLevelType w:val="hybridMultilevel"/>
    <w:tmpl w:val="BC9E93C0"/>
    <w:lvl w:ilvl="0" w:tplc="94F8685A">
      <w:start w:val="1"/>
      <w:numFmt w:val="bullet"/>
      <w:lvlText w:val="•"/>
      <w:lvlJc w:val="left"/>
      <w:pPr>
        <w:tabs>
          <w:tab w:val="num" w:pos="720"/>
        </w:tabs>
        <w:ind w:left="720" w:hanging="360"/>
      </w:pPr>
      <w:rPr>
        <w:rFonts w:ascii="Arial" w:hAnsi="Arial" w:hint="default"/>
      </w:rPr>
    </w:lvl>
    <w:lvl w:ilvl="1" w:tplc="E0080C50">
      <w:numFmt w:val="bullet"/>
      <w:lvlText w:val="–"/>
      <w:lvlJc w:val="left"/>
      <w:pPr>
        <w:tabs>
          <w:tab w:val="num" w:pos="1440"/>
        </w:tabs>
        <w:ind w:left="1440" w:hanging="360"/>
      </w:pPr>
      <w:rPr>
        <w:rFonts w:ascii="Arial" w:hAnsi="Arial" w:hint="default"/>
      </w:rPr>
    </w:lvl>
    <w:lvl w:ilvl="2" w:tplc="D450A8E6">
      <w:numFmt w:val="bullet"/>
      <w:lvlText w:val="•"/>
      <w:lvlJc w:val="left"/>
      <w:pPr>
        <w:tabs>
          <w:tab w:val="num" w:pos="2160"/>
        </w:tabs>
        <w:ind w:left="2160" w:hanging="360"/>
      </w:pPr>
      <w:rPr>
        <w:rFonts w:ascii="Arial" w:hAnsi="Arial" w:hint="default"/>
      </w:rPr>
    </w:lvl>
    <w:lvl w:ilvl="3" w:tplc="17104426" w:tentative="1">
      <w:start w:val="1"/>
      <w:numFmt w:val="bullet"/>
      <w:lvlText w:val="•"/>
      <w:lvlJc w:val="left"/>
      <w:pPr>
        <w:tabs>
          <w:tab w:val="num" w:pos="2880"/>
        </w:tabs>
        <w:ind w:left="2880" w:hanging="360"/>
      </w:pPr>
      <w:rPr>
        <w:rFonts w:ascii="Arial" w:hAnsi="Arial" w:hint="default"/>
      </w:rPr>
    </w:lvl>
    <w:lvl w:ilvl="4" w:tplc="E228AC0E" w:tentative="1">
      <w:start w:val="1"/>
      <w:numFmt w:val="bullet"/>
      <w:lvlText w:val="•"/>
      <w:lvlJc w:val="left"/>
      <w:pPr>
        <w:tabs>
          <w:tab w:val="num" w:pos="3600"/>
        </w:tabs>
        <w:ind w:left="3600" w:hanging="360"/>
      </w:pPr>
      <w:rPr>
        <w:rFonts w:ascii="Arial" w:hAnsi="Arial" w:hint="default"/>
      </w:rPr>
    </w:lvl>
    <w:lvl w:ilvl="5" w:tplc="0D445D2C" w:tentative="1">
      <w:start w:val="1"/>
      <w:numFmt w:val="bullet"/>
      <w:lvlText w:val="•"/>
      <w:lvlJc w:val="left"/>
      <w:pPr>
        <w:tabs>
          <w:tab w:val="num" w:pos="4320"/>
        </w:tabs>
        <w:ind w:left="4320" w:hanging="360"/>
      </w:pPr>
      <w:rPr>
        <w:rFonts w:ascii="Arial" w:hAnsi="Arial" w:hint="default"/>
      </w:rPr>
    </w:lvl>
    <w:lvl w:ilvl="6" w:tplc="D1B0E11C" w:tentative="1">
      <w:start w:val="1"/>
      <w:numFmt w:val="bullet"/>
      <w:lvlText w:val="•"/>
      <w:lvlJc w:val="left"/>
      <w:pPr>
        <w:tabs>
          <w:tab w:val="num" w:pos="5040"/>
        </w:tabs>
        <w:ind w:left="5040" w:hanging="360"/>
      </w:pPr>
      <w:rPr>
        <w:rFonts w:ascii="Arial" w:hAnsi="Arial" w:hint="default"/>
      </w:rPr>
    </w:lvl>
    <w:lvl w:ilvl="7" w:tplc="9C9E09C0" w:tentative="1">
      <w:start w:val="1"/>
      <w:numFmt w:val="bullet"/>
      <w:lvlText w:val="•"/>
      <w:lvlJc w:val="left"/>
      <w:pPr>
        <w:tabs>
          <w:tab w:val="num" w:pos="5760"/>
        </w:tabs>
        <w:ind w:left="5760" w:hanging="360"/>
      </w:pPr>
      <w:rPr>
        <w:rFonts w:ascii="Arial" w:hAnsi="Arial" w:hint="default"/>
      </w:rPr>
    </w:lvl>
    <w:lvl w:ilvl="8" w:tplc="4558CE4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12"/>
  </w:num>
  <w:num w:numId="10">
    <w:abstractNumId w:val="16"/>
  </w:num>
  <w:num w:numId="11">
    <w:abstractNumId w:val="14"/>
  </w:num>
  <w:num w:numId="12">
    <w:abstractNumId w:val="2"/>
  </w:num>
  <w:num w:numId="13">
    <w:abstractNumId w:val="7"/>
  </w:num>
  <w:num w:numId="14">
    <w:abstractNumId w:val="1"/>
  </w:num>
  <w:num w:numId="15">
    <w:abstractNumId w:val="4"/>
  </w:num>
  <w:num w:numId="16">
    <w:abstractNumId w:val="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2A07"/>
    <w:rsid w:val="000534E3"/>
    <w:rsid w:val="0005606A"/>
    <w:rsid w:val="00057117"/>
    <w:rsid w:val="000616E7"/>
    <w:rsid w:val="00063ED0"/>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B726C"/>
    <w:rsid w:val="000C165A"/>
    <w:rsid w:val="000C27FD"/>
    <w:rsid w:val="000C2E19"/>
    <w:rsid w:val="000D0D07"/>
    <w:rsid w:val="000D4797"/>
    <w:rsid w:val="000E0527"/>
    <w:rsid w:val="000E1E92"/>
    <w:rsid w:val="000E235F"/>
    <w:rsid w:val="000E474B"/>
    <w:rsid w:val="000E4FF4"/>
    <w:rsid w:val="000F06D6"/>
    <w:rsid w:val="000F0EB1"/>
    <w:rsid w:val="000F0F1F"/>
    <w:rsid w:val="000F1106"/>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3A8E"/>
    <w:rsid w:val="00177795"/>
    <w:rsid w:val="00180366"/>
    <w:rsid w:val="0018143F"/>
    <w:rsid w:val="00186D76"/>
    <w:rsid w:val="00190AC1"/>
    <w:rsid w:val="00191947"/>
    <w:rsid w:val="0019341A"/>
    <w:rsid w:val="00197DF9"/>
    <w:rsid w:val="001A1987"/>
    <w:rsid w:val="001A2564"/>
    <w:rsid w:val="001A6173"/>
    <w:rsid w:val="001A6CBA"/>
    <w:rsid w:val="001B0D97"/>
    <w:rsid w:val="001B4B1C"/>
    <w:rsid w:val="001B5A5D"/>
    <w:rsid w:val="001C1CE5"/>
    <w:rsid w:val="001C3D2A"/>
    <w:rsid w:val="001D019B"/>
    <w:rsid w:val="001D255C"/>
    <w:rsid w:val="001D51BA"/>
    <w:rsid w:val="001D6342"/>
    <w:rsid w:val="001D6D53"/>
    <w:rsid w:val="001E58E2"/>
    <w:rsid w:val="001E7AED"/>
    <w:rsid w:val="001F3916"/>
    <w:rsid w:val="001F54C5"/>
    <w:rsid w:val="001F62D5"/>
    <w:rsid w:val="001F662C"/>
    <w:rsid w:val="001F6CB2"/>
    <w:rsid w:val="001F7074"/>
    <w:rsid w:val="00200490"/>
    <w:rsid w:val="00200A2C"/>
    <w:rsid w:val="00201F3A"/>
    <w:rsid w:val="00203F96"/>
    <w:rsid w:val="002069B2"/>
    <w:rsid w:val="00207FA3"/>
    <w:rsid w:val="00211B13"/>
    <w:rsid w:val="0021311C"/>
    <w:rsid w:val="00214DA8"/>
    <w:rsid w:val="00215423"/>
    <w:rsid w:val="002158FA"/>
    <w:rsid w:val="00217670"/>
    <w:rsid w:val="00220600"/>
    <w:rsid w:val="002207DA"/>
    <w:rsid w:val="00221CBF"/>
    <w:rsid w:val="002224DB"/>
    <w:rsid w:val="00223FCB"/>
    <w:rsid w:val="002252C3"/>
    <w:rsid w:val="00225C54"/>
    <w:rsid w:val="00226F72"/>
    <w:rsid w:val="00230765"/>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805F5"/>
    <w:rsid w:val="00280751"/>
    <w:rsid w:val="002821C2"/>
    <w:rsid w:val="0028280A"/>
    <w:rsid w:val="00286ACD"/>
    <w:rsid w:val="00287838"/>
    <w:rsid w:val="002907B5"/>
    <w:rsid w:val="00292EB7"/>
    <w:rsid w:val="00296227"/>
    <w:rsid w:val="002966E4"/>
    <w:rsid w:val="00296F44"/>
    <w:rsid w:val="002972F4"/>
    <w:rsid w:val="0029777D"/>
    <w:rsid w:val="002A055E"/>
    <w:rsid w:val="002A1D4E"/>
    <w:rsid w:val="002A2869"/>
    <w:rsid w:val="002A7427"/>
    <w:rsid w:val="002B24D6"/>
    <w:rsid w:val="002B335C"/>
    <w:rsid w:val="002C41E6"/>
    <w:rsid w:val="002C5BA4"/>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7D2"/>
    <w:rsid w:val="00370E47"/>
    <w:rsid w:val="00371C51"/>
    <w:rsid w:val="003726B6"/>
    <w:rsid w:val="003742AC"/>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75A"/>
    <w:rsid w:val="00405CA5"/>
    <w:rsid w:val="00407CD3"/>
    <w:rsid w:val="00410134"/>
    <w:rsid w:val="00410B72"/>
    <w:rsid w:val="00410F18"/>
    <w:rsid w:val="0041263E"/>
    <w:rsid w:val="00413AAC"/>
    <w:rsid w:val="00416184"/>
    <w:rsid w:val="00417F22"/>
    <w:rsid w:val="00421105"/>
    <w:rsid w:val="004242F4"/>
    <w:rsid w:val="00427248"/>
    <w:rsid w:val="00431AF0"/>
    <w:rsid w:val="0043372F"/>
    <w:rsid w:val="00437447"/>
    <w:rsid w:val="00441A92"/>
    <w:rsid w:val="00444F56"/>
    <w:rsid w:val="00446488"/>
    <w:rsid w:val="004508A0"/>
    <w:rsid w:val="00451465"/>
    <w:rsid w:val="004517AA"/>
    <w:rsid w:val="00452CAC"/>
    <w:rsid w:val="00457565"/>
    <w:rsid w:val="00457B71"/>
    <w:rsid w:val="004669E2"/>
    <w:rsid w:val="00470C31"/>
    <w:rsid w:val="00472E76"/>
    <w:rsid w:val="004734D0"/>
    <w:rsid w:val="0047556B"/>
    <w:rsid w:val="00477768"/>
    <w:rsid w:val="00492BC5"/>
    <w:rsid w:val="004964F1"/>
    <w:rsid w:val="004A16BC"/>
    <w:rsid w:val="004A2B94"/>
    <w:rsid w:val="004B520E"/>
    <w:rsid w:val="004B7C0C"/>
    <w:rsid w:val="004C3898"/>
    <w:rsid w:val="004C620E"/>
    <w:rsid w:val="004D1BCA"/>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011"/>
    <w:rsid w:val="00550419"/>
    <w:rsid w:val="00551D4F"/>
    <w:rsid w:val="00554E19"/>
    <w:rsid w:val="0056121F"/>
    <w:rsid w:val="00572505"/>
    <w:rsid w:val="00582809"/>
    <w:rsid w:val="0058335A"/>
    <w:rsid w:val="00583385"/>
    <w:rsid w:val="0058798C"/>
    <w:rsid w:val="005900FA"/>
    <w:rsid w:val="005935A4"/>
    <w:rsid w:val="005948C2"/>
    <w:rsid w:val="00595DCA"/>
    <w:rsid w:val="0059779B"/>
    <w:rsid w:val="005A15AB"/>
    <w:rsid w:val="005A195D"/>
    <w:rsid w:val="005A209A"/>
    <w:rsid w:val="005A6262"/>
    <w:rsid w:val="005A662D"/>
    <w:rsid w:val="005A7282"/>
    <w:rsid w:val="005B35D7"/>
    <w:rsid w:val="005B392A"/>
    <w:rsid w:val="005B3AA3"/>
    <w:rsid w:val="005B6CAA"/>
    <w:rsid w:val="005B6F83"/>
    <w:rsid w:val="005C3D26"/>
    <w:rsid w:val="005C74FB"/>
    <w:rsid w:val="005D1602"/>
    <w:rsid w:val="005D1DE7"/>
    <w:rsid w:val="005D6A04"/>
    <w:rsid w:val="005E17A9"/>
    <w:rsid w:val="005E385F"/>
    <w:rsid w:val="005E3C36"/>
    <w:rsid w:val="005E5B81"/>
    <w:rsid w:val="005F2CB1"/>
    <w:rsid w:val="005F3025"/>
    <w:rsid w:val="005F618C"/>
    <w:rsid w:val="005F70BD"/>
    <w:rsid w:val="0060283C"/>
    <w:rsid w:val="0060397D"/>
    <w:rsid w:val="00604F14"/>
    <w:rsid w:val="00611B83"/>
    <w:rsid w:val="00613257"/>
    <w:rsid w:val="00616D26"/>
    <w:rsid w:val="00620A71"/>
    <w:rsid w:val="00620D80"/>
    <w:rsid w:val="006212A9"/>
    <w:rsid w:val="006234A6"/>
    <w:rsid w:val="00626DD2"/>
    <w:rsid w:val="00627D28"/>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6F7"/>
    <w:rsid w:val="006817C9"/>
    <w:rsid w:val="00683ECE"/>
    <w:rsid w:val="0068441C"/>
    <w:rsid w:val="0068756A"/>
    <w:rsid w:val="00695A55"/>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B82"/>
    <w:rsid w:val="00704EDB"/>
    <w:rsid w:val="00706101"/>
    <w:rsid w:val="00706563"/>
    <w:rsid w:val="00707072"/>
    <w:rsid w:val="00707D61"/>
    <w:rsid w:val="00712287"/>
    <w:rsid w:val="00712772"/>
    <w:rsid w:val="007148D3"/>
    <w:rsid w:val="00715A0E"/>
    <w:rsid w:val="00715B9A"/>
    <w:rsid w:val="00722281"/>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5FBC"/>
    <w:rsid w:val="007925EA"/>
    <w:rsid w:val="00792960"/>
    <w:rsid w:val="00793CD8"/>
    <w:rsid w:val="00795C92"/>
    <w:rsid w:val="00796231"/>
    <w:rsid w:val="00797B44"/>
    <w:rsid w:val="00797EA3"/>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4D53"/>
    <w:rsid w:val="007D5901"/>
    <w:rsid w:val="007D7526"/>
    <w:rsid w:val="007E26DB"/>
    <w:rsid w:val="007E4610"/>
    <w:rsid w:val="007E4715"/>
    <w:rsid w:val="007E505B"/>
    <w:rsid w:val="007E7091"/>
    <w:rsid w:val="00803FAE"/>
    <w:rsid w:val="0080605F"/>
    <w:rsid w:val="00806114"/>
    <w:rsid w:val="00807786"/>
    <w:rsid w:val="00811FCB"/>
    <w:rsid w:val="008158D6"/>
    <w:rsid w:val="00817196"/>
    <w:rsid w:val="008235DB"/>
    <w:rsid w:val="00824AB4"/>
    <w:rsid w:val="00825C42"/>
    <w:rsid w:val="00825D25"/>
    <w:rsid w:val="00827D17"/>
    <w:rsid w:val="00827D6F"/>
    <w:rsid w:val="00832408"/>
    <w:rsid w:val="008376AC"/>
    <w:rsid w:val="008435CE"/>
    <w:rsid w:val="008444E8"/>
    <w:rsid w:val="00844E80"/>
    <w:rsid w:val="00846505"/>
    <w:rsid w:val="00846FE7"/>
    <w:rsid w:val="008565AD"/>
    <w:rsid w:val="00856911"/>
    <w:rsid w:val="008677FD"/>
    <w:rsid w:val="008706D4"/>
    <w:rsid w:val="0087078B"/>
    <w:rsid w:val="00870F8A"/>
    <w:rsid w:val="008719A4"/>
    <w:rsid w:val="00871D23"/>
    <w:rsid w:val="00874312"/>
    <w:rsid w:val="0087437C"/>
    <w:rsid w:val="00875CD7"/>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4764"/>
    <w:rsid w:val="008B51A0"/>
    <w:rsid w:val="008B592A"/>
    <w:rsid w:val="008B7B5C"/>
    <w:rsid w:val="008C0C99"/>
    <w:rsid w:val="008C2017"/>
    <w:rsid w:val="008C4562"/>
    <w:rsid w:val="008C4958"/>
    <w:rsid w:val="008C4BAA"/>
    <w:rsid w:val="008C6AE8"/>
    <w:rsid w:val="008C7573"/>
    <w:rsid w:val="008D34F1"/>
    <w:rsid w:val="008D39D8"/>
    <w:rsid w:val="008D411B"/>
    <w:rsid w:val="008D6D1A"/>
    <w:rsid w:val="008E065E"/>
    <w:rsid w:val="008E0927"/>
    <w:rsid w:val="008E1909"/>
    <w:rsid w:val="008F1EAB"/>
    <w:rsid w:val="008F33DC"/>
    <w:rsid w:val="008F477F"/>
    <w:rsid w:val="008F47B9"/>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77F"/>
    <w:rsid w:val="00945C05"/>
    <w:rsid w:val="00946945"/>
    <w:rsid w:val="00947713"/>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387B"/>
    <w:rsid w:val="00A048A8"/>
    <w:rsid w:val="00A04F49"/>
    <w:rsid w:val="00A13E54"/>
    <w:rsid w:val="00A17F63"/>
    <w:rsid w:val="00A20554"/>
    <w:rsid w:val="00A2193B"/>
    <w:rsid w:val="00A2351A"/>
    <w:rsid w:val="00A264A9"/>
    <w:rsid w:val="00A27785"/>
    <w:rsid w:val="00A30187"/>
    <w:rsid w:val="00A3448A"/>
    <w:rsid w:val="00A35FF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97A83"/>
    <w:rsid w:val="00AA016F"/>
    <w:rsid w:val="00AA1ED6"/>
    <w:rsid w:val="00AA51D6"/>
    <w:rsid w:val="00AB0BC8"/>
    <w:rsid w:val="00AB11CA"/>
    <w:rsid w:val="00AB14D9"/>
    <w:rsid w:val="00AB2203"/>
    <w:rsid w:val="00AB4AB8"/>
    <w:rsid w:val="00AB655E"/>
    <w:rsid w:val="00AC007F"/>
    <w:rsid w:val="00AC2ECD"/>
    <w:rsid w:val="00AC3119"/>
    <w:rsid w:val="00AC49FB"/>
    <w:rsid w:val="00AC5901"/>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69D0"/>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58D7"/>
    <w:rsid w:val="00C20977"/>
    <w:rsid w:val="00C279B5"/>
    <w:rsid w:val="00C27C45"/>
    <w:rsid w:val="00C3719D"/>
    <w:rsid w:val="00C372D9"/>
    <w:rsid w:val="00C52957"/>
    <w:rsid w:val="00C54995"/>
    <w:rsid w:val="00C54D41"/>
    <w:rsid w:val="00C57818"/>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963AE"/>
    <w:rsid w:val="00C9749F"/>
    <w:rsid w:val="00CA1ED8"/>
    <w:rsid w:val="00CB1F63"/>
    <w:rsid w:val="00CB4E0B"/>
    <w:rsid w:val="00CB7170"/>
    <w:rsid w:val="00CB7D95"/>
    <w:rsid w:val="00CC040E"/>
    <w:rsid w:val="00CC111F"/>
    <w:rsid w:val="00CC2011"/>
    <w:rsid w:val="00CC3EA0"/>
    <w:rsid w:val="00CC7B45"/>
    <w:rsid w:val="00CD1188"/>
    <w:rsid w:val="00CD2ED1"/>
    <w:rsid w:val="00CD337B"/>
    <w:rsid w:val="00CE0424"/>
    <w:rsid w:val="00CE36E3"/>
    <w:rsid w:val="00CE5F8B"/>
    <w:rsid w:val="00CE7561"/>
    <w:rsid w:val="00CF1354"/>
    <w:rsid w:val="00CF3B1F"/>
    <w:rsid w:val="00CF3BF6"/>
    <w:rsid w:val="00CF625B"/>
    <w:rsid w:val="00CF687E"/>
    <w:rsid w:val="00D0209A"/>
    <w:rsid w:val="00D0349B"/>
    <w:rsid w:val="00D06E78"/>
    <w:rsid w:val="00D10249"/>
    <w:rsid w:val="00D10379"/>
    <w:rsid w:val="00D115C3"/>
    <w:rsid w:val="00D11897"/>
    <w:rsid w:val="00D13135"/>
    <w:rsid w:val="00D13E4E"/>
    <w:rsid w:val="00D15511"/>
    <w:rsid w:val="00D20AB7"/>
    <w:rsid w:val="00D21F5F"/>
    <w:rsid w:val="00D239A7"/>
    <w:rsid w:val="00D23F47"/>
    <w:rsid w:val="00D27862"/>
    <w:rsid w:val="00D3019D"/>
    <w:rsid w:val="00D36E71"/>
    <w:rsid w:val="00D37D87"/>
    <w:rsid w:val="00D40B33"/>
    <w:rsid w:val="00D4318F"/>
    <w:rsid w:val="00D438BF"/>
    <w:rsid w:val="00D440F8"/>
    <w:rsid w:val="00D50F97"/>
    <w:rsid w:val="00D532CB"/>
    <w:rsid w:val="00D538F4"/>
    <w:rsid w:val="00D546FF"/>
    <w:rsid w:val="00D55AD5"/>
    <w:rsid w:val="00D576CA"/>
    <w:rsid w:val="00D606D2"/>
    <w:rsid w:val="00D61AF5"/>
    <w:rsid w:val="00D652B5"/>
    <w:rsid w:val="00D66155"/>
    <w:rsid w:val="00D708B0"/>
    <w:rsid w:val="00D74894"/>
    <w:rsid w:val="00D77B1D"/>
    <w:rsid w:val="00D77E33"/>
    <w:rsid w:val="00D8021F"/>
    <w:rsid w:val="00D80383"/>
    <w:rsid w:val="00D80D28"/>
    <w:rsid w:val="00D823C6"/>
    <w:rsid w:val="00D85EA9"/>
    <w:rsid w:val="00D86CA3"/>
    <w:rsid w:val="00D871CE"/>
    <w:rsid w:val="00D9196D"/>
    <w:rsid w:val="00D92982"/>
    <w:rsid w:val="00D94796"/>
    <w:rsid w:val="00D9772C"/>
    <w:rsid w:val="00DA2C7B"/>
    <w:rsid w:val="00DA305E"/>
    <w:rsid w:val="00DA5417"/>
    <w:rsid w:val="00DA56E8"/>
    <w:rsid w:val="00DB0A9F"/>
    <w:rsid w:val="00DB377D"/>
    <w:rsid w:val="00DC032C"/>
    <w:rsid w:val="00DC2D36"/>
    <w:rsid w:val="00DC53EF"/>
    <w:rsid w:val="00DE1D90"/>
    <w:rsid w:val="00DE402A"/>
    <w:rsid w:val="00DE5608"/>
    <w:rsid w:val="00DE58D0"/>
    <w:rsid w:val="00DE654F"/>
    <w:rsid w:val="00DF0B6E"/>
    <w:rsid w:val="00DF15E0"/>
    <w:rsid w:val="00DF37A0"/>
    <w:rsid w:val="00DF71A0"/>
    <w:rsid w:val="00DF7ECA"/>
    <w:rsid w:val="00E0493A"/>
    <w:rsid w:val="00E110E7"/>
    <w:rsid w:val="00E11B20"/>
    <w:rsid w:val="00E14D9A"/>
    <w:rsid w:val="00E17FA2"/>
    <w:rsid w:val="00E22330"/>
    <w:rsid w:val="00E30B5A"/>
    <w:rsid w:val="00E3123D"/>
    <w:rsid w:val="00E31461"/>
    <w:rsid w:val="00E31D43"/>
    <w:rsid w:val="00E32608"/>
    <w:rsid w:val="00E3294E"/>
    <w:rsid w:val="00E34188"/>
    <w:rsid w:val="00E34B6E"/>
    <w:rsid w:val="00E35559"/>
    <w:rsid w:val="00E3723A"/>
    <w:rsid w:val="00E37860"/>
    <w:rsid w:val="00E446F1"/>
    <w:rsid w:val="00E46886"/>
    <w:rsid w:val="00E47AEF"/>
    <w:rsid w:val="00E53B75"/>
    <w:rsid w:val="00E54E3B"/>
    <w:rsid w:val="00E5660E"/>
    <w:rsid w:val="00E57565"/>
    <w:rsid w:val="00E63838"/>
    <w:rsid w:val="00E64434"/>
    <w:rsid w:val="00E65920"/>
    <w:rsid w:val="00E660D3"/>
    <w:rsid w:val="00E67C51"/>
    <w:rsid w:val="00E72EFC"/>
    <w:rsid w:val="00E758EC"/>
    <w:rsid w:val="00E771B5"/>
    <w:rsid w:val="00E80B1C"/>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F18FE"/>
    <w:rsid w:val="00EF4AC2"/>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1E84"/>
    <w:rsid w:val="00F62020"/>
    <w:rsid w:val="00F6302A"/>
    <w:rsid w:val="00F6433F"/>
    <w:rsid w:val="00F64C2B"/>
    <w:rsid w:val="00F651BE"/>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2BB3"/>
    <w:rsid w:val="00FA641E"/>
    <w:rsid w:val="00FB4C80"/>
    <w:rsid w:val="00FB6A6A"/>
    <w:rsid w:val="00FB7575"/>
    <w:rsid w:val="00FC0B15"/>
    <w:rsid w:val="00FC1C60"/>
    <w:rsid w:val="00FC5EFD"/>
    <w:rsid w:val="00FC7429"/>
    <w:rsid w:val="00FD07F6"/>
    <w:rsid w:val="00FD1EC8"/>
    <w:rsid w:val="00FD47C7"/>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C5901"/>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C59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5901"/>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9E60EC"/>
    <w:pPr>
      <w:spacing w:after="0"/>
      <w:ind w:left="720"/>
    </w:pPr>
    <w:rPr>
      <w:rFonts w:ascii="Calibri" w:hAnsi="Calibri"/>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spacing w:before="240" w:after="0"/>
    </w:pPr>
    <w:rPr>
      <w:rFonts w:eastAsiaTheme="minorEastAsia"/>
      <w:spacing w:val="2"/>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966E4"/>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C4E9D953-3BA0-43EE-B702-3C5420534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1230</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2017-08-12T00:48:00Z</dcterms:created>
  <dcterms:modified xsi:type="dcterms:W3CDTF">2017-08-12T00:48:00Z</dcterms:modified>
</cp:coreProperties>
</file>